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3" w:type="dxa"/>
        <w:tblInd w:w="-7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44"/>
        <w:gridCol w:w="4683"/>
        <w:gridCol w:w="4366"/>
      </w:tblGrid>
      <w:tr w:rsidR="000D2E1D" w:rsidRPr="00FA4C3D" w:rsidTr="00EA6D93">
        <w:trPr>
          <w:trHeight w:val="343"/>
          <w:tblHeader/>
        </w:trPr>
        <w:tc>
          <w:tcPr>
            <w:tcW w:w="5727" w:type="dxa"/>
            <w:gridSpan w:val="2"/>
            <w:shd w:val="clear" w:color="auto" w:fill="auto"/>
          </w:tcPr>
          <w:p w:rsidR="000D2E1D" w:rsidRPr="00FA4C3D" w:rsidRDefault="000D2E1D" w:rsidP="007004F3">
            <w:pPr>
              <w:spacing w:line="360" w:lineRule="exact"/>
              <w:jc w:val="distribute"/>
              <w:rPr>
                <w:rFonts w:ascii="Arial" w:hAnsi="Arial" w:cs="Arial"/>
                <w:color w:val="000000"/>
                <w:sz w:val="20"/>
                <w:szCs w:val="20"/>
              </w:rPr>
            </w:pPr>
            <w:r w:rsidRPr="00FA4C3D">
              <w:rPr>
                <w:rFonts w:ascii="Arial" w:hAnsi="Arial" w:cs="Arial"/>
                <w:color w:val="000000"/>
                <w:sz w:val="20"/>
                <w:szCs w:val="20"/>
              </w:rPr>
              <w:t>決議、附帶決議及注意事項</w:t>
            </w:r>
          </w:p>
        </w:tc>
        <w:tc>
          <w:tcPr>
            <w:tcW w:w="4366" w:type="dxa"/>
            <w:vMerge w:val="restart"/>
            <w:shd w:val="clear" w:color="auto" w:fill="auto"/>
            <w:vAlign w:val="center"/>
          </w:tcPr>
          <w:p w:rsidR="000D2E1D" w:rsidRPr="00FA4C3D" w:rsidRDefault="000D2E1D" w:rsidP="007004F3">
            <w:pPr>
              <w:spacing w:line="360" w:lineRule="exact"/>
              <w:jc w:val="distribute"/>
              <w:rPr>
                <w:rFonts w:ascii="Arial" w:hAnsi="Arial" w:cs="Arial"/>
                <w:color w:val="000000"/>
                <w:sz w:val="20"/>
                <w:szCs w:val="20"/>
              </w:rPr>
            </w:pPr>
            <w:r w:rsidRPr="00FA4C3D">
              <w:rPr>
                <w:rFonts w:ascii="Arial" w:hAnsi="Arial" w:cs="Arial"/>
                <w:color w:val="000000"/>
                <w:sz w:val="20"/>
                <w:szCs w:val="20"/>
              </w:rPr>
              <w:t>辦理情形</w:t>
            </w:r>
          </w:p>
        </w:tc>
      </w:tr>
      <w:tr w:rsidR="000D2E1D" w:rsidRPr="00FA4C3D" w:rsidTr="00EA6D93">
        <w:trPr>
          <w:trHeight w:val="297"/>
          <w:tblHeader/>
        </w:trPr>
        <w:tc>
          <w:tcPr>
            <w:tcW w:w="1044" w:type="dxa"/>
            <w:shd w:val="clear" w:color="auto" w:fill="auto"/>
          </w:tcPr>
          <w:p w:rsidR="000D2E1D" w:rsidRPr="00FA4C3D" w:rsidRDefault="000D2E1D" w:rsidP="007004F3">
            <w:pPr>
              <w:spacing w:line="360" w:lineRule="exact"/>
              <w:jc w:val="distribute"/>
              <w:rPr>
                <w:rFonts w:ascii="Arial" w:hAnsi="Arial" w:cs="Arial"/>
                <w:color w:val="000000"/>
                <w:sz w:val="20"/>
                <w:szCs w:val="20"/>
              </w:rPr>
            </w:pPr>
            <w:r w:rsidRPr="00FA4C3D">
              <w:rPr>
                <w:rFonts w:ascii="Arial" w:hAnsi="Arial" w:cs="Arial"/>
                <w:color w:val="000000"/>
                <w:sz w:val="20"/>
                <w:szCs w:val="20"/>
              </w:rPr>
              <w:t>項次</w:t>
            </w:r>
          </w:p>
        </w:tc>
        <w:tc>
          <w:tcPr>
            <w:tcW w:w="4683" w:type="dxa"/>
            <w:shd w:val="clear" w:color="auto" w:fill="auto"/>
          </w:tcPr>
          <w:p w:rsidR="000D2E1D" w:rsidRPr="00FA4C3D" w:rsidRDefault="000D2E1D" w:rsidP="007004F3">
            <w:pPr>
              <w:spacing w:line="360" w:lineRule="exact"/>
              <w:jc w:val="distribute"/>
              <w:rPr>
                <w:rFonts w:ascii="Arial" w:hAnsi="Arial" w:cs="Arial"/>
                <w:color w:val="000000"/>
                <w:sz w:val="20"/>
                <w:szCs w:val="20"/>
              </w:rPr>
            </w:pPr>
            <w:r w:rsidRPr="00FA4C3D">
              <w:rPr>
                <w:rFonts w:ascii="Arial" w:hAnsi="Arial" w:cs="Arial"/>
                <w:color w:val="000000"/>
                <w:sz w:val="20"/>
                <w:szCs w:val="20"/>
              </w:rPr>
              <w:t>內容</w:t>
            </w:r>
          </w:p>
        </w:tc>
        <w:tc>
          <w:tcPr>
            <w:tcW w:w="4366" w:type="dxa"/>
            <w:vMerge/>
            <w:shd w:val="clear" w:color="auto" w:fill="auto"/>
            <w:vAlign w:val="center"/>
          </w:tcPr>
          <w:p w:rsidR="000D2E1D" w:rsidRPr="00FA4C3D" w:rsidRDefault="000D2E1D" w:rsidP="007004F3">
            <w:pPr>
              <w:spacing w:line="360" w:lineRule="exact"/>
              <w:jc w:val="both"/>
              <w:rPr>
                <w:rFonts w:ascii="Arial" w:hAnsi="Arial" w:cs="Arial"/>
                <w:color w:val="000000"/>
                <w:sz w:val="20"/>
                <w:szCs w:val="20"/>
              </w:rPr>
            </w:pPr>
          </w:p>
        </w:tc>
      </w:tr>
      <w:tr w:rsidR="000D2E1D" w:rsidRPr="00FA4C3D" w:rsidTr="00EA6D93">
        <w:trPr>
          <w:trHeight w:val="345"/>
        </w:trPr>
        <w:tc>
          <w:tcPr>
            <w:tcW w:w="1044" w:type="dxa"/>
            <w:shd w:val="clear" w:color="auto" w:fill="auto"/>
          </w:tcPr>
          <w:p w:rsidR="000D2E1D" w:rsidRPr="00FA4C3D" w:rsidRDefault="000D2E1D" w:rsidP="007004F3">
            <w:pPr>
              <w:spacing w:line="360" w:lineRule="exact"/>
              <w:jc w:val="both"/>
              <w:rPr>
                <w:rFonts w:ascii="Arial" w:hAnsi="Arial" w:cs="Arial"/>
                <w:color w:val="000000"/>
                <w:sz w:val="20"/>
                <w:szCs w:val="20"/>
              </w:rPr>
            </w:pPr>
          </w:p>
        </w:tc>
        <w:tc>
          <w:tcPr>
            <w:tcW w:w="4683" w:type="dxa"/>
            <w:shd w:val="clear" w:color="auto" w:fill="auto"/>
          </w:tcPr>
          <w:p w:rsidR="000D2E1D" w:rsidRPr="00FA4C3D" w:rsidRDefault="000D2E1D" w:rsidP="007004F3">
            <w:pPr>
              <w:spacing w:line="360" w:lineRule="exact"/>
              <w:jc w:val="both"/>
              <w:rPr>
                <w:rFonts w:ascii="Arial" w:hAnsi="Arial" w:cs="Arial"/>
                <w:b/>
                <w:color w:val="000000"/>
                <w:sz w:val="20"/>
                <w:szCs w:val="20"/>
              </w:rPr>
            </w:pPr>
            <w:r w:rsidRPr="00FA4C3D">
              <w:rPr>
                <w:rFonts w:ascii="Arial" w:hAnsi="Arial" w:cs="Arial"/>
                <w:b/>
                <w:color w:val="000000"/>
                <w:sz w:val="20"/>
                <w:szCs w:val="20"/>
              </w:rPr>
              <w:t>壹、通案決議部分</w:t>
            </w:r>
          </w:p>
        </w:tc>
        <w:tc>
          <w:tcPr>
            <w:tcW w:w="4366" w:type="dxa"/>
            <w:shd w:val="clear" w:color="auto" w:fill="auto"/>
          </w:tcPr>
          <w:p w:rsidR="000D2E1D" w:rsidRPr="00FA4C3D" w:rsidRDefault="000D2E1D" w:rsidP="007004F3">
            <w:pPr>
              <w:spacing w:line="360" w:lineRule="exact"/>
              <w:jc w:val="both"/>
              <w:rPr>
                <w:rFonts w:ascii="Arial" w:hAnsi="Arial" w:cs="Arial"/>
                <w:color w:val="000000"/>
                <w:sz w:val="20"/>
                <w:szCs w:val="20"/>
              </w:rPr>
            </w:pPr>
          </w:p>
        </w:tc>
      </w:tr>
      <w:tr w:rsidR="000D2E1D" w:rsidRPr="00FA4C3D" w:rsidTr="00885DA0">
        <w:trPr>
          <w:trHeight w:val="3809"/>
        </w:trPr>
        <w:tc>
          <w:tcPr>
            <w:tcW w:w="1044" w:type="dxa"/>
            <w:shd w:val="clear" w:color="auto" w:fill="auto"/>
          </w:tcPr>
          <w:p w:rsidR="000D2E1D" w:rsidRPr="00FA4C3D" w:rsidRDefault="000D2E1D"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proofErr w:type="gramStart"/>
            <w:r w:rsidRPr="00FA4C3D">
              <w:rPr>
                <w:rFonts w:ascii="Arial" w:hAnsi="Arial" w:cs="Arial"/>
                <w:color w:val="000000"/>
                <w:kern w:val="0"/>
                <w:sz w:val="20"/>
                <w:szCs w:val="20"/>
              </w:rPr>
              <w:t>一</w:t>
            </w:r>
            <w:proofErr w:type="gramEnd"/>
            <w:r w:rsidRPr="00FA4C3D">
              <w:rPr>
                <w:rFonts w:ascii="Arial" w:hAnsi="Arial" w:cs="Arial"/>
                <w:color w:val="000000"/>
                <w:kern w:val="0"/>
                <w:sz w:val="20"/>
                <w:szCs w:val="20"/>
              </w:rPr>
              <w:t>)</w:t>
            </w:r>
          </w:p>
          <w:p w:rsidR="000D2E1D" w:rsidRPr="00FA4C3D" w:rsidRDefault="000D2E1D" w:rsidP="007004F3">
            <w:pPr>
              <w:spacing w:line="360" w:lineRule="exact"/>
              <w:jc w:val="center"/>
              <w:rPr>
                <w:rFonts w:ascii="Arial" w:hAnsi="Arial" w:cs="Arial"/>
                <w:color w:val="000000"/>
                <w:kern w:val="0"/>
                <w:sz w:val="20"/>
                <w:szCs w:val="20"/>
              </w:rPr>
            </w:pPr>
          </w:p>
        </w:tc>
        <w:tc>
          <w:tcPr>
            <w:tcW w:w="4683" w:type="dxa"/>
            <w:shd w:val="clear" w:color="auto" w:fill="auto"/>
          </w:tcPr>
          <w:p w:rsidR="00885DA0" w:rsidRPr="00CF7D70" w:rsidRDefault="00885DA0" w:rsidP="00885DA0">
            <w:pPr>
              <w:pStyle w:val="23"/>
            </w:pPr>
            <w:r w:rsidRPr="00CF7D70">
              <w:rPr>
                <w:rFonts w:eastAsia="TimesNewRoman"/>
              </w:rPr>
              <w:t xml:space="preserve">103 </w:t>
            </w:r>
            <w:r w:rsidRPr="00CF7D70">
              <w:t>年度中央政府總預算釋股收入</w:t>
            </w:r>
            <w:r w:rsidRPr="00CF7D70">
              <w:rPr>
                <w:rFonts w:eastAsia="TimesNewRoman"/>
              </w:rPr>
              <w:t xml:space="preserve">380 </w:t>
            </w:r>
            <w:r w:rsidRPr="00CF7D70">
              <w:t>億元不予保留。</w:t>
            </w:r>
            <w:r w:rsidRPr="00CF7D70">
              <w:rPr>
                <w:rFonts w:eastAsia="TimesNewRoman"/>
              </w:rPr>
              <w:t xml:space="preserve">104 </w:t>
            </w:r>
            <w:r w:rsidRPr="00CF7D70">
              <w:t>年度中央政府總預算釋股收入</w:t>
            </w:r>
            <w:r w:rsidRPr="00CF7D70">
              <w:rPr>
                <w:rFonts w:eastAsia="TimesNewRoman"/>
              </w:rPr>
              <w:t xml:space="preserve">380 </w:t>
            </w:r>
            <w:r w:rsidRPr="00CF7D70">
              <w:t>億元如下表，倘財政狀況良好，原則不予出售；釋股對象以政府四大基金為限，釋股費用</w:t>
            </w:r>
            <w:proofErr w:type="gramStart"/>
            <w:r w:rsidRPr="00CF7D70">
              <w:t>併</w:t>
            </w:r>
            <w:proofErr w:type="gramEnd"/>
            <w:r w:rsidRPr="00CF7D70">
              <w:t>同調整。</w:t>
            </w:r>
          </w:p>
          <w:tbl>
            <w:tblPr>
              <w:tblW w:w="4411" w:type="dxa"/>
              <w:tblBorders>
                <w:left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293"/>
              <w:gridCol w:w="2126"/>
              <w:gridCol w:w="992"/>
            </w:tblGrid>
            <w:tr w:rsidR="00384D8D" w:rsidRPr="00FA4C3D" w:rsidTr="00C04977">
              <w:trPr>
                <w:trHeight w:val="139"/>
              </w:trPr>
              <w:tc>
                <w:tcPr>
                  <w:tcW w:w="1293" w:type="dxa"/>
                  <w:tcBorders>
                    <w:top w:val="single" w:sz="12" w:space="0" w:color="auto"/>
                    <w:bottom w:val="single" w:sz="4"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br w:type="page"/>
                  </w:r>
                  <w:r w:rsidRPr="00FA4C3D">
                    <w:rPr>
                      <w:rFonts w:ascii="Arial" w:eastAsia="新細明體" w:hAnsi="Arial" w:cs="Arial"/>
                      <w:color w:val="000000"/>
                      <w:sz w:val="16"/>
                      <w:szCs w:val="16"/>
                    </w:rPr>
                    <w:t>預算編列</w:t>
                  </w:r>
                  <w:bookmarkStart w:id="0" w:name="TA6947137"/>
                  <w:bookmarkEnd w:id="0"/>
                  <w:r w:rsidR="00405CA4">
                    <w:rPr>
                      <w:rFonts w:ascii="Arial" w:eastAsia="新細明體" w:hAnsi="Arial" w:cs="Arial" w:hint="eastAsia"/>
                      <w:color w:val="000000"/>
                      <w:sz w:val="16"/>
                      <w:szCs w:val="16"/>
                    </w:rPr>
                    <w:t>機關</w:t>
                  </w:r>
                </w:p>
              </w:tc>
              <w:tc>
                <w:tcPr>
                  <w:tcW w:w="2126" w:type="dxa"/>
                  <w:tcBorders>
                    <w:top w:val="single" w:sz="12" w:space="0" w:color="auto"/>
                    <w:bottom w:val="single" w:sz="4"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釋股標的</w:t>
                  </w:r>
                </w:p>
              </w:tc>
              <w:tc>
                <w:tcPr>
                  <w:tcW w:w="992" w:type="dxa"/>
                  <w:tcBorders>
                    <w:top w:val="single" w:sz="12" w:space="0" w:color="auto"/>
                    <w:bottom w:val="single" w:sz="4"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釋股</w:t>
                  </w:r>
                  <w:r w:rsidR="00405CA4">
                    <w:rPr>
                      <w:rFonts w:ascii="Arial" w:eastAsia="新細明體" w:hAnsi="Arial" w:cs="Arial" w:hint="eastAsia"/>
                      <w:color w:val="000000"/>
                      <w:sz w:val="16"/>
                      <w:szCs w:val="16"/>
                    </w:rPr>
                    <w:t>金額</w:t>
                  </w:r>
                </w:p>
              </w:tc>
            </w:tr>
            <w:tr w:rsidR="00384D8D" w:rsidRPr="00FA4C3D" w:rsidTr="00C04977">
              <w:trPr>
                <w:trHeight w:val="262"/>
              </w:trPr>
              <w:tc>
                <w:tcPr>
                  <w:tcW w:w="1293" w:type="dxa"/>
                  <w:tcBorders>
                    <w:top w:val="single" w:sz="4" w:space="0" w:color="auto"/>
                    <w:bottom w:val="single" w:sz="4"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財政部</w:t>
                  </w:r>
                </w:p>
              </w:tc>
              <w:tc>
                <w:tcPr>
                  <w:tcW w:w="2126" w:type="dxa"/>
                  <w:tcBorders>
                    <w:top w:val="single" w:sz="4" w:space="0" w:color="auto"/>
                    <w:bottom w:val="single" w:sz="4" w:space="0" w:color="auto"/>
                  </w:tcBorders>
                  <w:vAlign w:val="center"/>
                </w:tcPr>
                <w:p w:rsidR="00384D8D" w:rsidRPr="00FA4C3D" w:rsidRDefault="00384D8D" w:rsidP="00405CA4">
                  <w:pPr>
                    <w:pStyle w:val="ae"/>
                    <w:ind w:leftChars="100" w:left="24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合作金庫金融控股公司</w:t>
                  </w:r>
                </w:p>
              </w:tc>
              <w:tc>
                <w:tcPr>
                  <w:tcW w:w="992" w:type="dxa"/>
                  <w:tcBorders>
                    <w:top w:val="single" w:sz="4" w:space="0" w:color="auto"/>
                    <w:bottom w:val="single" w:sz="4"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45</w:t>
                  </w:r>
                  <w:r w:rsidRPr="00FA4C3D">
                    <w:rPr>
                      <w:rFonts w:ascii="Arial" w:eastAsia="新細明體" w:hAnsi="Arial" w:cs="Arial"/>
                      <w:color w:val="000000"/>
                      <w:sz w:val="16"/>
                      <w:szCs w:val="16"/>
                    </w:rPr>
                    <w:t>億元</w:t>
                  </w:r>
                </w:p>
              </w:tc>
            </w:tr>
            <w:tr w:rsidR="00384D8D" w:rsidRPr="00FA4C3D" w:rsidTr="00C04977">
              <w:trPr>
                <w:trHeight w:val="177"/>
              </w:trPr>
              <w:tc>
                <w:tcPr>
                  <w:tcW w:w="1293" w:type="dxa"/>
                  <w:tcBorders>
                    <w:top w:val="single" w:sz="4" w:space="0" w:color="auto"/>
                    <w:bottom w:val="single" w:sz="4"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交通部</w:t>
                  </w:r>
                </w:p>
              </w:tc>
              <w:tc>
                <w:tcPr>
                  <w:tcW w:w="2126" w:type="dxa"/>
                  <w:tcBorders>
                    <w:top w:val="single" w:sz="4" w:space="0" w:color="auto"/>
                    <w:bottom w:val="single" w:sz="4" w:space="0" w:color="auto"/>
                  </w:tcBorders>
                  <w:vAlign w:val="center"/>
                </w:tcPr>
                <w:p w:rsidR="00384D8D" w:rsidRPr="00FA4C3D" w:rsidRDefault="00384D8D" w:rsidP="00405CA4">
                  <w:pPr>
                    <w:pStyle w:val="ae"/>
                    <w:ind w:leftChars="100" w:left="24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中華電信公司</w:t>
                  </w:r>
                </w:p>
              </w:tc>
              <w:tc>
                <w:tcPr>
                  <w:tcW w:w="992" w:type="dxa"/>
                  <w:tcBorders>
                    <w:top w:val="single" w:sz="4" w:space="0" w:color="auto"/>
                    <w:bottom w:val="single" w:sz="4"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80</w:t>
                  </w:r>
                  <w:r w:rsidRPr="00FA4C3D">
                    <w:rPr>
                      <w:rFonts w:ascii="Arial" w:eastAsia="新細明體" w:hAnsi="Arial" w:cs="Arial"/>
                      <w:color w:val="000000"/>
                      <w:sz w:val="16"/>
                      <w:szCs w:val="16"/>
                    </w:rPr>
                    <w:t>億元</w:t>
                  </w:r>
                </w:p>
              </w:tc>
            </w:tr>
            <w:tr w:rsidR="00384D8D" w:rsidRPr="00FA4C3D" w:rsidTr="00C04977">
              <w:trPr>
                <w:trHeight w:val="177"/>
              </w:trPr>
              <w:tc>
                <w:tcPr>
                  <w:tcW w:w="1293" w:type="dxa"/>
                  <w:tcBorders>
                    <w:top w:val="single" w:sz="4" w:space="0" w:color="auto"/>
                    <w:bottom w:val="single" w:sz="4" w:space="0" w:color="auto"/>
                  </w:tcBorders>
                  <w:vAlign w:val="center"/>
                </w:tcPr>
                <w:p w:rsidR="00384D8D" w:rsidRPr="00FA4C3D" w:rsidRDefault="00885DA0" w:rsidP="00405CA4">
                  <w:pPr>
                    <w:pStyle w:val="ae"/>
                    <w:ind w:leftChars="50" w:left="120" w:rightChars="50" w:right="120"/>
                    <w:jc w:val="center"/>
                    <w:rPr>
                      <w:rFonts w:ascii="Arial" w:eastAsia="新細明體" w:hAnsi="Arial" w:cs="Arial"/>
                      <w:color w:val="000000"/>
                      <w:sz w:val="16"/>
                      <w:szCs w:val="16"/>
                    </w:rPr>
                  </w:pPr>
                  <w:r>
                    <w:rPr>
                      <w:rFonts w:ascii="Arial" w:eastAsia="新細明體" w:hAnsi="Arial" w:cs="Arial" w:hint="eastAsia"/>
                      <w:color w:val="000000"/>
                      <w:sz w:val="16"/>
                      <w:szCs w:val="16"/>
                    </w:rPr>
                    <w:t>行政院</w:t>
                  </w:r>
                </w:p>
              </w:tc>
              <w:tc>
                <w:tcPr>
                  <w:tcW w:w="2126" w:type="dxa"/>
                  <w:tcBorders>
                    <w:top w:val="single" w:sz="4" w:space="0" w:color="auto"/>
                    <w:bottom w:val="single" w:sz="4" w:space="0" w:color="auto"/>
                  </w:tcBorders>
                  <w:vAlign w:val="center"/>
                </w:tcPr>
                <w:p w:rsidR="00384D8D" w:rsidRPr="00FA4C3D" w:rsidRDefault="00885DA0" w:rsidP="00405CA4">
                  <w:pPr>
                    <w:pStyle w:val="ae"/>
                    <w:ind w:leftChars="100" w:left="240" w:rightChars="50" w:right="120"/>
                    <w:jc w:val="center"/>
                    <w:rPr>
                      <w:rFonts w:ascii="Arial" w:eastAsia="新細明體" w:hAnsi="Arial" w:cs="Arial"/>
                      <w:color w:val="000000"/>
                      <w:sz w:val="16"/>
                      <w:szCs w:val="16"/>
                    </w:rPr>
                  </w:pPr>
                  <w:r>
                    <w:rPr>
                      <w:rFonts w:ascii="Arial" w:eastAsia="新細明體" w:hAnsi="Arial" w:cs="Arial" w:hint="eastAsia"/>
                      <w:color w:val="000000"/>
                      <w:sz w:val="16"/>
                      <w:szCs w:val="16"/>
                    </w:rPr>
                    <w:t>台灣積體電路</w:t>
                  </w:r>
                  <w:r w:rsidR="00405CA4">
                    <w:rPr>
                      <w:rFonts w:ascii="Arial" w:eastAsia="新細明體" w:hAnsi="Arial" w:cs="Arial" w:hint="eastAsia"/>
                      <w:color w:val="000000"/>
                      <w:sz w:val="16"/>
                      <w:szCs w:val="16"/>
                    </w:rPr>
                    <w:t>公司</w:t>
                  </w:r>
                </w:p>
              </w:tc>
              <w:tc>
                <w:tcPr>
                  <w:tcW w:w="992" w:type="dxa"/>
                  <w:tcBorders>
                    <w:top w:val="single" w:sz="4" w:space="0" w:color="auto"/>
                    <w:bottom w:val="single" w:sz="4" w:space="0" w:color="auto"/>
                  </w:tcBorders>
                  <w:vAlign w:val="center"/>
                </w:tcPr>
                <w:p w:rsidR="00384D8D" w:rsidRPr="00FA4C3D" w:rsidRDefault="00885DA0" w:rsidP="00405CA4">
                  <w:pPr>
                    <w:pStyle w:val="ae"/>
                    <w:ind w:leftChars="50" w:left="120" w:rightChars="50" w:right="120"/>
                    <w:jc w:val="center"/>
                    <w:rPr>
                      <w:rFonts w:ascii="Arial" w:eastAsia="新細明體" w:hAnsi="Arial" w:cs="Arial"/>
                      <w:color w:val="000000"/>
                      <w:sz w:val="16"/>
                      <w:szCs w:val="16"/>
                    </w:rPr>
                  </w:pPr>
                  <w:r>
                    <w:rPr>
                      <w:rFonts w:ascii="Arial" w:eastAsia="新細明體" w:hAnsi="Arial" w:cs="Arial" w:hint="eastAsia"/>
                      <w:color w:val="000000"/>
                      <w:sz w:val="16"/>
                      <w:szCs w:val="16"/>
                    </w:rPr>
                    <w:t>255</w:t>
                  </w:r>
                  <w:r>
                    <w:rPr>
                      <w:rFonts w:ascii="Arial" w:eastAsia="新細明體" w:hAnsi="Arial" w:cs="Arial" w:hint="eastAsia"/>
                      <w:color w:val="000000"/>
                      <w:sz w:val="16"/>
                      <w:szCs w:val="16"/>
                    </w:rPr>
                    <w:t>億元</w:t>
                  </w:r>
                </w:p>
              </w:tc>
            </w:tr>
            <w:tr w:rsidR="00384D8D" w:rsidRPr="00FA4C3D" w:rsidTr="00C04977">
              <w:trPr>
                <w:trHeight w:val="177"/>
              </w:trPr>
              <w:tc>
                <w:tcPr>
                  <w:tcW w:w="3419" w:type="dxa"/>
                  <w:gridSpan w:val="2"/>
                  <w:tcBorders>
                    <w:top w:val="single" w:sz="4" w:space="0" w:color="auto"/>
                    <w:bottom w:val="single" w:sz="12"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合計</w:t>
                  </w:r>
                </w:p>
              </w:tc>
              <w:tc>
                <w:tcPr>
                  <w:tcW w:w="992" w:type="dxa"/>
                  <w:tcBorders>
                    <w:top w:val="single" w:sz="4" w:space="0" w:color="auto"/>
                    <w:bottom w:val="single" w:sz="12" w:space="0" w:color="auto"/>
                  </w:tcBorders>
                  <w:vAlign w:val="center"/>
                </w:tcPr>
                <w:p w:rsidR="00384D8D" w:rsidRPr="00FA4C3D" w:rsidRDefault="00384D8D" w:rsidP="00405CA4">
                  <w:pPr>
                    <w:pStyle w:val="ae"/>
                    <w:ind w:leftChars="50" w:left="120" w:rightChars="50" w:right="120"/>
                    <w:jc w:val="center"/>
                    <w:rPr>
                      <w:rFonts w:ascii="Arial" w:eastAsia="新細明體" w:hAnsi="Arial" w:cs="Arial"/>
                      <w:color w:val="000000"/>
                      <w:sz w:val="16"/>
                      <w:szCs w:val="16"/>
                    </w:rPr>
                  </w:pPr>
                  <w:r w:rsidRPr="00FA4C3D">
                    <w:rPr>
                      <w:rFonts w:ascii="Arial" w:eastAsia="新細明體" w:hAnsi="Arial" w:cs="Arial"/>
                      <w:color w:val="000000"/>
                      <w:sz w:val="16"/>
                      <w:szCs w:val="16"/>
                    </w:rPr>
                    <w:t>380</w:t>
                  </w:r>
                  <w:r w:rsidRPr="00FA4C3D">
                    <w:rPr>
                      <w:rFonts w:ascii="Arial" w:eastAsia="新細明體" w:hAnsi="Arial" w:cs="Arial"/>
                      <w:color w:val="000000"/>
                      <w:sz w:val="16"/>
                      <w:szCs w:val="16"/>
                    </w:rPr>
                    <w:t>億元</w:t>
                  </w:r>
                </w:p>
              </w:tc>
            </w:tr>
          </w:tbl>
          <w:p w:rsidR="000D2E1D" w:rsidRPr="00FA4C3D" w:rsidRDefault="000D2E1D" w:rsidP="00885DA0">
            <w:pPr>
              <w:pStyle w:val="23"/>
            </w:pPr>
          </w:p>
        </w:tc>
        <w:tc>
          <w:tcPr>
            <w:tcW w:w="4366" w:type="dxa"/>
            <w:shd w:val="clear" w:color="auto" w:fill="auto"/>
          </w:tcPr>
          <w:p w:rsidR="000D2E1D" w:rsidRPr="00FA4C3D" w:rsidRDefault="000F2056"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非本所主政業務。</w:t>
            </w:r>
          </w:p>
        </w:tc>
      </w:tr>
      <w:tr w:rsidR="000D2E1D" w:rsidRPr="00FA4C3D" w:rsidTr="005B5755">
        <w:trPr>
          <w:trHeight w:val="785"/>
        </w:trPr>
        <w:tc>
          <w:tcPr>
            <w:tcW w:w="1044" w:type="dxa"/>
            <w:shd w:val="clear" w:color="auto" w:fill="auto"/>
          </w:tcPr>
          <w:p w:rsidR="000D2E1D" w:rsidRPr="00FA4C3D" w:rsidRDefault="000D2E1D"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二</w:t>
            </w:r>
            <w:r w:rsidRPr="00FA4C3D">
              <w:rPr>
                <w:rFonts w:ascii="Arial" w:hAnsi="Arial" w:cs="Arial"/>
                <w:color w:val="000000"/>
                <w:kern w:val="0"/>
                <w:sz w:val="20"/>
                <w:szCs w:val="20"/>
              </w:rPr>
              <w:t>)</w:t>
            </w:r>
          </w:p>
          <w:p w:rsidR="000D2E1D" w:rsidRPr="00FA4C3D" w:rsidRDefault="000D2E1D" w:rsidP="007004F3">
            <w:pPr>
              <w:spacing w:line="360" w:lineRule="exact"/>
              <w:jc w:val="center"/>
              <w:rPr>
                <w:rFonts w:ascii="Arial" w:hAnsi="Arial" w:cs="Arial"/>
                <w:color w:val="000000"/>
                <w:kern w:val="0"/>
                <w:sz w:val="20"/>
                <w:szCs w:val="20"/>
              </w:rPr>
            </w:pPr>
          </w:p>
        </w:tc>
        <w:tc>
          <w:tcPr>
            <w:tcW w:w="4683" w:type="dxa"/>
            <w:shd w:val="clear" w:color="auto" w:fill="auto"/>
          </w:tcPr>
          <w:p w:rsidR="000017E5" w:rsidRDefault="00FC3717" w:rsidP="000017E5">
            <w:pPr>
              <w:pStyle w:val="23"/>
            </w:pPr>
            <w:r w:rsidRPr="002E1DCB">
              <w:rPr>
                <w:rFonts w:eastAsia="TimesNewRoman"/>
              </w:rPr>
              <w:t xml:space="preserve">104 </w:t>
            </w:r>
            <w:r w:rsidRPr="002E1DCB">
              <w:t>年度中央政府總預算案針對各機關及所屬統</w:t>
            </w:r>
            <w:proofErr w:type="gramStart"/>
            <w:r w:rsidRPr="002E1DCB">
              <w:t>刪</w:t>
            </w:r>
            <w:proofErr w:type="gramEnd"/>
            <w:r w:rsidRPr="002E1DCB">
              <w:t>項目如下：</w:t>
            </w:r>
          </w:p>
          <w:p w:rsidR="00FC3717" w:rsidRPr="00885DA0" w:rsidRDefault="00FC3717" w:rsidP="004A748C">
            <w:pPr>
              <w:pStyle w:val="23"/>
              <w:numPr>
                <w:ilvl w:val="0"/>
                <w:numId w:val="2"/>
              </w:numPr>
            </w:pPr>
            <w:r w:rsidRPr="00885DA0">
              <w:t>油料：統</w:t>
            </w:r>
            <w:proofErr w:type="gramStart"/>
            <w:r w:rsidRPr="00885DA0">
              <w:t>刪</w:t>
            </w:r>
            <w:proofErr w:type="gramEnd"/>
            <w:r w:rsidRPr="00885DA0">
              <w:rPr>
                <w:rFonts w:eastAsia="TimesNewRoman"/>
              </w:rPr>
              <w:t>30%</w:t>
            </w:r>
            <w:r w:rsidRPr="00885DA0">
              <w:t>；另隨同減列交通部辦理離島載客船舶油價補貼</w:t>
            </w:r>
            <w:r w:rsidRPr="00885DA0">
              <w:rPr>
                <w:rFonts w:eastAsia="TimesNewRoman"/>
              </w:rPr>
              <w:t xml:space="preserve">0.07 </w:t>
            </w:r>
            <w:r w:rsidRPr="00885DA0">
              <w:t>億元、公路總局辦理公共運輸油價補貼</w:t>
            </w:r>
            <w:r w:rsidRPr="00885DA0">
              <w:rPr>
                <w:rFonts w:eastAsia="TimesNewRoman"/>
              </w:rPr>
              <w:t xml:space="preserve">1.05 </w:t>
            </w:r>
            <w:r w:rsidRPr="00885DA0">
              <w:t>億元。</w:t>
            </w:r>
          </w:p>
          <w:p w:rsidR="00FC3717" w:rsidRPr="00885DA0" w:rsidRDefault="00FC3717" w:rsidP="004A748C">
            <w:pPr>
              <w:pStyle w:val="23"/>
              <w:numPr>
                <w:ilvl w:val="0"/>
                <w:numId w:val="2"/>
              </w:numPr>
            </w:pPr>
            <w:r w:rsidRPr="00885DA0">
              <w:t>大陸地區旅費：統</w:t>
            </w:r>
            <w:proofErr w:type="gramStart"/>
            <w:r w:rsidRPr="00885DA0">
              <w:t>刪</w:t>
            </w:r>
            <w:proofErr w:type="gramEnd"/>
            <w:r w:rsidRPr="00885DA0">
              <w:rPr>
                <w:rFonts w:eastAsia="TimesNewRoman"/>
              </w:rPr>
              <w:t>10%</w:t>
            </w:r>
            <w:r w:rsidRPr="00885DA0">
              <w:t>。</w:t>
            </w:r>
          </w:p>
          <w:p w:rsidR="00FC3717" w:rsidRDefault="00FC3717" w:rsidP="004A748C">
            <w:pPr>
              <w:pStyle w:val="23"/>
              <w:numPr>
                <w:ilvl w:val="0"/>
                <w:numId w:val="2"/>
              </w:numPr>
            </w:pPr>
            <w:r>
              <w:rPr>
                <w:rFonts w:hint="eastAsia"/>
              </w:rPr>
              <w:t>委辦費：除人事行政總處、公務人力發展中心、中央選舉委員會及所屬、公務人員保障暨培訓委員會、警政署及所屬、外交部主管、教育部主管、法務部主管、勞工保險局、職業</w:t>
            </w:r>
            <w:proofErr w:type="gramStart"/>
            <w:r>
              <w:rPr>
                <w:rFonts w:hint="eastAsia"/>
              </w:rPr>
              <w:t>安全衛生署</w:t>
            </w:r>
            <w:proofErr w:type="gramEnd"/>
            <w:r>
              <w:rPr>
                <w:rFonts w:hint="eastAsia"/>
              </w:rPr>
              <w:t>危險性機械及設備檢查與管理、動植物防疫檢疫局及所屬屠宰衛生檢查、畜禽藥物殘留檢測及檢疫偵測犬業務、衛生福利部落實長照十年計畫、推動長照服務體系及長照服務網業務相關預算、健全緊急醫療照護網絡、健全醫療衛生體系、</w:t>
            </w:r>
            <w:proofErr w:type="gramStart"/>
            <w:r>
              <w:rPr>
                <w:rFonts w:hint="eastAsia"/>
              </w:rPr>
              <w:t>醫</w:t>
            </w:r>
            <w:proofErr w:type="gramEnd"/>
            <w:r>
              <w:rPr>
                <w:rFonts w:hint="eastAsia"/>
              </w:rPr>
              <w:t>事人力培育與訓練、推動身心障礙醫療復建網絡、社會救助業務、保護服務業務、規劃建立社會工作專業、推動性別暴力防治相關預算、食品藥物管理署科技發展工作及食品藥物管理業務相關預算、社會及家庭署辦理推展身心障礙者福利服務相關預算、文化部主管不</w:t>
            </w:r>
            <w:proofErr w:type="gramStart"/>
            <w:r>
              <w:rPr>
                <w:rFonts w:hint="eastAsia"/>
              </w:rPr>
              <w:t>刪</w:t>
            </w:r>
            <w:proofErr w:type="gramEnd"/>
            <w:r>
              <w:rPr>
                <w:rFonts w:hint="eastAsia"/>
              </w:rPr>
              <w:t>；智慧財產局、工業局工業技術升級輔導計畫、標準檢驗局及所屬辦</w:t>
            </w:r>
            <w:r>
              <w:rPr>
                <w:rFonts w:hint="eastAsia"/>
              </w:rPr>
              <w:lastRenderedPageBreak/>
              <w:t>理國家度量衡標準實驗室整體運作與發展及民生化學計量標準計畫統</w:t>
            </w:r>
            <w:proofErr w:type="gramStart"/>
            <w:r>
              <w:rPr>
                <w:rFonts w:hint="eastAsia"/>
              </w:rPr>
              <w:t>刪</w:t>
            </w:r>
            <w:proofErr w:type="gramEnd"/>
            <w:r>
              <w:rPr>
                <w:rFonts w:ascii="TimesNewRoman" w:eastAsia="TimesNewRoman" w:cs="TimesNewRoman"/>
              </w:rPr>
              <w:t>1%</w:t>
            </w:r>
            <w:r>
              <w:rPr>
                <w:rFonts w:hint="eastAsia"/>
              </w:rPr>
              <w:t>外，其餘統</w:t>
            </w:r>
            <w:proofErr w:type="gramStart"/>
            <w:r>
              <w:rPr>
                <w:rFonts w:hint="eastAsia"/>
              </w:rPr>
              <w:t>刪</w:t>
            </w:r>
            <w:proofErr w:type="gramEnd"/>
            <w:r>
              <w:rPr>
                <w:rFonts w:ascii="TimesNewRoman" w:eastAsia="TimesNewRoman" w:cs="TimesNewRoman"/>
              </w:rPr>
              <w:t>10%</w:t>
            </w:r>
            <w:r>
              <w:rPr>
                <w:rFonts w:hint="eastAsia"/>
              </w:rPr>
              <w:t>，其中大陸委員會、考試院、營建署及所屬、消防署及所屬、入出國及移民署、建築研究所、國防部所屬、財政部、國庫署、交通部、中央氣象局、觀光局及所屬、運輸研究所、農業委員會、茶業改良場、疾病管制署、中央健康</w:t>
            </w:r>
            <w:proofErr w:type="gramStart"/>
            <w:r>
              <w:rPr>
                <w:rFonts w:hint="eastAsia"/>
              </w:rPr>
              <w:t>保險署</w:t>
            </w:r>
            <w:proofErr w:type="gramEnd"/>
            <w:r>
              <w:rPr>
                <w:rFonts w:hint="eastAsia"/>
              </w:rPr>
              <w:t>、社會及家庭署、新竹科學工業園區管理局及所屬、中部科學工業園區管理局及所屬、保險局改以其他項目刪減替代，科目自行調整。</w:t>
            </w:r>
          </w:p>
          <w:p w:rsidR="00FC3717" w:rsidRPr="00885DA0" w:rsidRDefault="00FC3717" w:rsidP="004A748C">
            <w:pPr>
              <w:pStyle w:val="23"/>
              <w:numPr>
                <w:ilvl w:val="0"/>
                <w:numId w:val="2"/>
              </w:numPr>
            </w:pPr>
            <w:r>
              <w:rPr>
                <w:rFonts w:hint="eastAsia"/>
              </w:rPr>
              <w:t>一般事務費：除中央研究院、人事行政總處及所屬、國立故宮博物院、中央選舉委員會及所屬、立法院主管、公務人員保障暨培訓委員會、國家文官學院及所屬、監察院、警政署及所屬、外交部主管、體育署、法務部主管、智慧財產局、工業局工業技術升級輔導計畫、勞工保險局、衛生福利部落實長照十年計畫、推動長照服務體系及長照服務網業務相關預算、健</w:t>
            </w:r>
            <w:r w:rsidRPr="000017E5">
              <w:rPr>
                <w:rFonts w:ascii="新細明體" w:cs="新細明體" w:hint="eastAsia"/>
              </w:rPr>
              <w:t>全緊急醫療照護網絡、健全醫療衛生體系、</w:t>
            </w:r>
            <w:proofErr w:type="gramStart"/>
            <w:r w:rsidRPr="000017E5">
              <w:rPr>
                <w:rFonts w:ascii="新細明體" w:cs="新細明體" w:hint="eastAsia"/>
              </w:rPr>
              <w:t>醫</w:t>
            </w:r>
            <w:proofErr w:type="gramEnd"/>
            <w:r w:rsidRPr="000017E5">
              <w:rPr>
                <w:rFonts w:ascii="新細明體" w:cs="新細明體" w:hint="eastAsia"/>
              </w:rPr>
              <w:t>事人力培育與訓練、推動身心障礙醫療復建網絡、社會救助業務、保護服務業務、規劃建立社會工作專業、推動性別暴力防治相關預算、食品藥物管理署科技發展工作及食品藥物管理業務相關預算、中央健康</w:t>
            </w:r>
            <w:proofErr w:type="gramStart"/>
            <w:r w:rsidRPr="000017E5">
              <w:rPr>
                <w:rFonts w:ascii="新細明體" w:cs="新細明體" w:hint="eastAsia"/>
              </w:rPr>
              <w:t>保險署</w:t>
            </w:r>
            <w:proofErr w:type="gramEnd"/>
            <w:r w:rsidRPr="000017E5">
              <w:rPr>
                <w:rFonts w:ascii="新細明體" w:cs="新細明體" w:hint="eastAsia"/>
              </w:rPr>
              <w:t>、社會及家庭署辦理推展身心障礙者福利服務相關預算、國軍退除役官兵輔導委員會聘</w:t>
            </w:r>
            <w:r w:rsidRPr="00885DA0">
              <w:t>用照顧服務員及護理人員相關預算不</w:t>
            </w:r>
            <w:proofErr w:type="gramStart"/>
            <w:r w:rsidRPr="00885DA0">
              <w:t>刪</w:t>
            </w:r>
            <w:proofErr w:type="gramEnd"/>
            <w:r w:rsidRPr="00885DA0">
              <w:t>外，其餘統</w:t>
            </w:r>
            <w:proofErr w:type="gramStart"/>
            <w:r w:rsidRPr="00885DA0">
              <w:t>刪</w:t>
            </w:r>
            <w:proofErr w:type="gramEnd"/>
            <w:r w:rsidRPr="000017E5">
              <w:rPr>
                <w:rFonts w:eastAsia="TimesNewRoman"/>
              </w:rPr>
              <w:t>5%</w:t>
            </w:r>
            <w:r w:rsidRPr="00885DA0">
              <w:t>，其中總統府、國家發展委員會、國家通訊傳播委員會</w:t>
            </w:r>
            <w:r w:rsidRPr="000017E5">
              <w:rPr>
                <w:rFonts w:ascii="新細明體" w:cs="新細明體" w:hint="eastAsia"/>
              </w:rPr>
              <w:t>、公務人員退休撫</w:t>
            </w:r>
            <w:proofErr w:type="gramStart"/>
            <w:r w:rsidRPr="000017E5">
              <w:rPr>
                <w:rFonts w:ascii="新細明體" w:cs="新細明體" w:hint="eastAsia"/>
              </w:rPr>
              <w:t>卹</w:t>
            </w:r>
            <w:proofErr w:type="gramEnd"/>
            <w:r w:rsidRPr="000017E5">
              <w:rPr>
                <w:rFonts w:ascii="新細明體" w:cs="新細明體" w:hint="eastAsia"/>
              </w:rPr>
              <w:t>基金監理委員會、營建署及所屬、消防署及所屬、空中勤務總隊、國</w:t>
            </w:r>
            <w:r w:rsidRPr="00885DA0">
              <w:t>防部所屬、賦稅署、</w:t>
            </w:r>
            <w:proofErr w:type="gramStart"/>
            <w:r w:rsidRPr="00885DA0">
              <w:t>臺</w:t>
            </w:r>
            <w:proofErr w:type="gramEnd"/>
            <w:r w:rsidRPr="00885DA0">
              <w:t>北國稅局、高雄國稅局、北區國稅局及所屬、中區國稅局及所屬、南區國稅局及所屬、關務署及所屬、財政資訊中心、教育部、國家圖書館、國立公共資訊圖書館、國立教育廣播電臺、國立海洋科技博物館、中小企業</w:t>
            </w:r>
            <w:r w:rsidRPr="00885DA0">
              <w:lastRenderedPageBreak/>
              <w:t>處、交通部、民用航空局、中央氣象局、觀光局及所屬、運輸研究所、原子能委員會、放射性物料管理局、核能研究所、水土保持局、農業試驗所、林業試驗所、種苗改良繁殖場、桃園區農業改良場、花蓮區農業改良場、衛生福利部、社會及家庭署、環境檢驗所、環境保護人員訓練所、海岸巡防署主管、新竹科學工業園區管理局及所屬、證券期貨局改以其他項目刪減替代，科目自行調整。</w:t>
            </w:r>
          </w:p>
          <w:p w:rsidR="005B5755" w:rsidRPr="00885DA0" w:rsidRDefault="00FC3717" w:rsidP="004A748C">
            <w:pPr>
              <w:pStyle w:val="23"/>
              <w:numPr>
                <w:ilvl w:val="0"/>
                <w:numId w:val="2"/>
              </w:numPr>
            </w:pPr>
            <w:r w:rsidRPr="00885DA0">
              <w:t>軍事裝備設施、房屋建築、車輛及辦公器具、設施及機械設備養護費：除人事行政總處及所屬、國立故宮博物院、中央選舉委員會及所屬、立法院主管、公務人員保障暨培訓委員會、國家文官學院及所屬、監察院、警政署及所屬、中央警察大學設施及機械設備養護費、外交部駐外機構業務計畫、體育署、法務部主管、衛生福利部落實長照十年計畫、推動長照服務體系及長照服務網業務相關預算、保護服務業務相關預算、食品藥物管理署科技發展工作及食品藥物管理業務相關預算、海洋巡防總局艦艇歲修及機械儀器養護費不</w:t>
            </w:r>
            <w:proofErr w:type="gramStart"/>
            <w:r w:rsidRPr="00885DA0">
              <w:t>刪</w:t>
            </w:r>
            <w:proofErr w:type="gramEnd"/>
            <w:r w:rsidRPr="00885DA0">
              <w:t>外，其餘統</w:t>
            </w:r>
            <w:proofErr w:type="gramStart"/>
            <w:r w:rsidRPr="00885DA0">
              <w:t>刪</w:t>
            </w:r>
            <w:proofErr w:type="gramEnd"/>
            <w:r w:rsidRPr="00885DA0">
              <w:rPr>
                <w:rFonts w:eastAsia="TimesNewRoman"/>
              </w:rPr>
              <w:t>5%</w:t>
            </w:r>
            <w:r w:rsidRPr="00885DA0">
              <w:t>，其中國家安全會議、國史館臺灣文獻館、中央研究院、行政院、主計總處、國家發展委員會、考試院、公務人員退休撫</w:t>
            </w:r>
            <w:proofErr w:type="gramStart"/>
            <w:r w:rsidRPr="00885DA0">
              <w:t>卹</w:t>
            </w:r>
            <w:proofErr w:type="gramEnd"/>
            <w:r w:rsidRPr="00885DA0">
              <w:t>基金監理委員會、內政部、營建署及所屬、消防署及所屬、入出國及移民署、國防部所屬、財政部、國庫署、賦稅署、</w:t>
            </w:r>
            <w:proofErr w:type="gramStart"/>
            <w:r w:rsidRPr="00885DA0">
              <w:t>臺</w:t>
            </w:r>
            <w:proofErr w:type="gramEnd"/>
            <w:r w:rsidRPr="00885DA0">
              <w:t>北國稅局、高雄國稅局、北區國稅局及所屬、中區國稅局及所屬、南區國稅局及所屬、關務署及所屬、財政資訊中心、國家圖書館、國立公共資訊圖書館、國立教育廣播電臺、國立海洋科技博物館、交通部、民用航空局、中央氣象局、觀光局及所屬、運輸研究所、公路總局及所屬、原子能委員會、放射性物料管理局、農業委員會、水土保持局、林業試驗所、特有生物研究保育中心、漁業署及所屬、衛生福利部、</w:t>
            </w:r>
            <w:r w:rsidRPr="00885DA0">
              <w:lastRenderedPageBreak/>
              <w:t>疾病管制署、中央健康</w:t>
            </w:r>
            <w:proofErr w:type="gramStart"/>
            <w:r w:rsidRPr="00885DA0">
              <w:t>保險署</w:t>
            </w:r>
            <w:proofErr w:type="gramEnd"/>
            <w:r w:rsidRPr="00885DA0">
              <w:t>、環境保護署、環境檢驗所、環境保護人員訓練所、海岸巡防署主管、新竹科學工業園區管理局及所屬改以其他項目刪減替代，科目自行調整。</w:t>
            </w:r>
          </w:p>
          <w:p w:rsidR="005B5755" w:rsidRPr="00885DA0" w:rsidRDefault="00FC3717" w:rsidP="004A748C">
            <w:pPr>
              <w:pStyle w:val="23"/>
              <w:numPr>
                <w:ilvl w:val="0"/>
                <w:numId w:val="2"/>
              </w:numPr>
            </w:pPr>
            <w:r w:rsidRPr="00885DA0">
              <w:t>國內旅費：除中央研究院、人事行政總處及所屬、國立故宮博物院、中央選舉委員會及所屬、公務人員保障暨培訓委員會、國家文官學院及所屬、監察院主管、警政署及所屬、體育署、法務部主管、工業局工業技術升級輔導計畫、衛生福利部落實長照十年計畫、推動長照服務體系及長照服務網業務相關預算、健全緊急醫療照護網絡、健全醫療衛生體系、</w:t>
            </w:r>
            <w:proofErr w:type="gramStart"/>
            <w:r w:rsidRPr="00885DA0">
              <w:t>醫</w:t>
            </w:r>
            <w:proofErr w:type="gramEnd"/>
            <w:r w:rsidRPr="00885DA0">
              <w:t>事人力培育與訓練、推動身心障礙醫療復建網絡、社會救助業務、保護服務業務、規劃建立社會工作專業相關預算、食品藥物管理署科技發展工作及食品藥物管理業務相關預算、社會及家庭署辦理推展身心障礙者福利服務相關預算不</w:t>
            </w:r>
            <w:proofErr w:type="gramStart"/>
            <w:r w:rsidRPr="00885DA0">
              <w:t>刪</w:t>
            </w:r>
            <w:proofErr w:type="gramEnd"/>
            <w:r w:rsidRPr="00885DA0">
              <w:t>外，</w:t>
            </w:r>
            <w:r w:rsidRPr="000017E5">
              <w:rPr>
                <w:color w:val="auto"/>
              </w:rPr>
              <w:t>其餘統</w:t>
            </w:r>
            <w:proofErr w:type="gramStart"/>
            <w:r w:rsidRPr="000017E5">
              <w:rPr>
                <w:color w:val="auto"/>
              </w:rPr>
              <w:t>刪</w:t>
            </w:r>
            <w:proofErr w:type="gramEnd"/>
            <w:r w:rsidRPr="000017E5">
              <w:rPr>
                <w:rFonts w:eastAsia="TimesNewRoman"/>
                <w:color w:val="auto"/>
              </w:rPr>
              <w:t>5%</w:t>
            </w:r>
            <w:r w:rsidRPr="000017E5">
              <w:rPr>
                <w:color w:val="auto"/>
              </w:rPr>
              <w:t>，其中國史館臺灣文獻館、主計總處、國家發展委員會、考試院、內政部、營建署及所屬、消防署及所屬、役政署、入出國及移民署、空中勤務總隊、國防部所屬、賦稅署、</w:t>
            </w:r>
            <w:proofErr w:type="gramStart"/>
            <w:r w:rsidRPr="000017E5">
              <w:rPr>
                <w:color w:val="auto"/>
              </w:rPr>
              <w:t>臺</w:t>
            </w:r>
            <w:proofErr w:type="gramEnd"/>
            <w:r w:rsidRPr="000017E5">
              <w:rPr>
                <w:color w:val="auto"/>
              </w:rPr>
              <w:t>北國稅局、高雄國稅局、北區國</w:t>
            </w:r>
            <w:r w:rsidRPr="00885DA0">
              <w:t>稅局及所屬、中區國稅局及所屬、南區國稅局及所屬、關務署及所屬、財政資訊中心、國家圖書館、國立公共資訊圖書館、國立教育廣播電臺、國立海洋科技博物館、交通部、中央氣象局、觀光局及所屬、運輸研究所、公路總局及所屬、原子能委員會、放射性物料管理局、農業委員會、水土保持局、衛生福利部、疾病管制署、社會及家庭署、環境保護署、環境檢驗所、環境保護人員訓練所、新竹科學工業園區管理局及所屬、檢查局、臺灣省政府改以其他項目刪減替代，科目自行調整。</w:t>
            </w:r>
          </w:p>
          <w:p w:rsidR="00FC3717" w:rsidRPr="00885DA0" w:rsidRDefault="00FC3717" w:rsidP="004A748C">
            <w:pPr>
              <w:pStyle w:val="23"/>
              <w:numPr>
                <w:ilvl w:val="0"/>
                <w:numId w:val="2"/>
              </w:numPr>
            </w:pPr>
            <w:r w:rsidRPr="00885DA0">
              <w:t>國外旅費：除中央研究院、人事行政總處及所屬、國立故宮博物院、中央選舉委員會及所屬、立法院主管委員國會交流事務費、公務人員保障暨培</w:t>
            </w:r>
            <w:r w:rsidRPr="00885DA0">
              <w:lastRenderedPageBreak/>
              <w:t>訓委員會、國家文官學院及所屬、監察院、警政署及所屬、中央警察大學、外交部主管、體育署、法務部主管、衛生福利部落實長照十年計畫、推動長照服務體系及長照服務網業務相關預算、推動身心障礙醫療復建網絡、保護服務業務相關預算、食品藥物管理署科技發展工作及食品藥物管理業務相關預算、社會及家庭署辦理推展身心障礙者福利服務相關預算、文化部主管不</w:t>
            </w:r>
            <w:proofErr w:type="gramStart"/>
            <w:r w:rsidRPr="00885DA0">
              <w:t>刪</w:t>
            </w:r>
            <w:proofErr w:type="gramEnd"/>
            <w:r w:rsidRPr="00885DA0">
              <w:t>外，其餘統</w:t>
            </w:r>
            <w:proofErr w:type="gramStart"/>
            <w:r w:rsidRPr="00885DA0">
              <w:t>刪</w:t>
            </w:r>
            <w:proofErr w:type="gramEnd"/>
            <w:r w:rsidRPr="000017E5">
              <w:rPr>
                <w:rFonts w:eastAsia="TimesNewRoman"/>
              </w:rPr>
              <w:t>5%</w:t>
            </w:r>
            <w:r w:rsidRPr="00885DA0">
              <w:t>，其中行政院、主計總處、國家發展委員會、檔案管理局、飛航安全調查委員會、客家委員會及所屬、考試院、銓敘部、公務人員退休撫</w:t>
            </w:r>
            <w:proofErr w:type="gramStart"/>
            <w:r w:rsidRPr="00885DA0">
              <w:t>卹</w:t>
            </w:r>
            <w:proofErr w:type="gramEnd"/>
            <w:r w:rsidRPr="00885DA0">
              <w:t>基金監理委員會、公務人員退休撫</w:t>
            </w:r>
            <w:proofErr w:type="gramStart"/>
            <w:r w:rsidRPr="00885DA0">
              <w:t>卹</w:t>
            </w:r>
            <w:proofErr w:type="gramEnd"/>
            <w:r w:rsidRPr="00885DA0">
              <w:t>基金管理委員會、審計部、內政部、營建署及所屬、消防署及所屬、役政署、入出國及移民署、建築研究所、空中勤務總隊、國防部所屬、財政部、國庫署、賦稅署、</w:t>
            </w:r>
            <w:proofErr w:type="gramStart"/>
            <w:r w:rsidRPr="00885DA0">
              <w:t>臺</w:t>
            </w:r>
            <w:proofErr w:type="gramEnd"/>
            <w:r w:rsidRPr="00885DA0">
              <w:t>北國稅局、高雄國稅局、北區國稅局及所屬、中區國稅局及所屬、南區國稅局及所屬、財政資訊中心、教育部、國民及學前教育署、青年發展署、國家圖書館、國立公共資訊圖書館、國立教育廣播電臺、國家教育研究院、國立海洋科技博物館、工業局、標準檢驗局及所屬、智慧財產局、水利署及所屬、中央地質調查所、交通部、民用航空局、中央氣象局、觀光局及所屬、運輸研究所、公路總局及所屬、勞工保險局、勞動力發展署及所屬、職業</w:t>
            </w:r>
            <w:proofErr w:type="gramStart"/>
            <w:r w:rsidRPr="00885DA0">
              <w:t>安全衛生署</w:t>
            </w:r>
            <w:proofErr w:type="gramEnd"/>
            <w:r w:rsidRPr="00885DA0">
              <w:t>、勞動及職業安全衛生研究所、僑務委員會、原子能委員會、輻射偵測中心、放射性物料管理局、核能研究所、農業委員會、林務局、水土保持局、農業試驗所、林業試驗所、水產試驗所、畜產試驗所、家畜衛生試驗所、特有生物研究保育中心、種苗改良繁殖場、高雄區農業改良場、漁業署及所屬、動植物防疫檢疫局及所屬、</w:t>
            </w:r>
            <w:proofErr w:type="gramStart"/>
            <w:r w:rsidRPr="00885DA0">
              <w:t>農糧署及</w:t>
            </w:r>
            <w:proofErr w:type="gramEnd"/>
            <w:r w:rsidRPr="00885DA0">
              <w:t>所屬、衛生福利部、疾病管制署、中央健康</w:t>
            </w:r>
            <w:proofErr w:type="gramStart"/>
            <w:r w:rsidRPr="00885DA0">
              <w:t>保險署</w:t>
            </w:r>
            <w:proofErr w:type="gramEnd"/>
            <w:r w:rsidRPr="00885DA0">
              <w:t>、社會及家庭署、環境檢驗所、環境保護人員訓練所、</w:t>
            </w:r>
            <w:r w:rsidRPr="00885DA0">
              <w:lastRenderedPageBreak/>
              <w:t>新竹科學工業園區管理局及所屬、中部科學工業園區管理局及所屬、南部科學工業園區管理局及所屬、檢查局、臺灣省政府、臺灣省</w:t>
            </w:r>
            <w:proofErr w:type="gramStart"/>
            <w:r w:rsidRPr="00885DA0">
              <w:t>諮</w:t>
            </w:r>
            <w:proofErr w:type="gramEnd"/>
            <w:r w:rsidRPr="00885DA0">
              <w:t>議會、福建省政府改以其他項目刪減替代，科目自行調整。</w:t>
            </w:r>
          </w:p>
          <w:p w:rsidR="00FC3717" w:rsidRPr="00885DA0" w:rsidRDefault="00FC3717" w:rsidP="004A748C">
            <w:pPr>
              <w:pStyle w:val="23"/>
              <w:numPr>
                <w:ilvl w:val="0"/>
                <w:numId w:val="2"/>
              </w:numPr>
            </w:pPr>
            <w:r w:rsidRPr="00885DA0">
              <w:t>出國教育訓練費：除中央研究院、人事行政總處及所屬、中央選舉委員會及所屬、公務人員保障暨培訓委員會、國家文官學院及所屬、警政署及所屬、外交部駐外機構業務計畫、法務部主管、食品藥物管理署科技發展工作及食品藥物管理業務相關預算、文化部主管不</w:t>
            </w:r>
            <w:proofErr w:type="gramStart"/>
            <w:r w:rsidRPr="00885DA0">
              <w:t>刪</w:t>
            </w:r>
            <w:proofErr w:type="gramEnd"/>
            <w:r w:rsidRPr="00885DA0">
              <w:t>外，其餘統</w:t>
            </w:r>
            <w:proofErr w:type="gramStart"/>
            <w:r w:rsidRPr="00885DA0">
              <w:t>刪</w:t>
            </w:r>
            <w:proofErr w:type="gramEnd"/>
            <w:r w:rsidRPr="00885DA0">
              <w:rPr>
                <w:rFonts w:eastAsia="TimesNewRoman"/>
              </w:rPr>
              <w:t>5%</w:t>
            </w:r>
            <w:r w:rsidRPr="00885DA0">
              <w:t>，其中主計總處、國家發展委員會、公平交易委員會、飛航安全調查委員會、消防署及所屬、空中勤務總隊、國防部所屬、財政部、關務署及所屬、交通部、中央氣象局、原子能委員會、核能研究所、農業委員會、農業試驗所、水產試驗所、畜產試驗所、家畜衛生試驗所、特有生物研究保育中心、種苗改良繁殖場、</w:t>
            </w:r>
            <w:proofErr w:type="gramStart"/>
            <w:r w:rsidRPr="00885DA0">
              <w:t>臺</w:t>
            </w:r>
            <w:proofErr w:type="gramEnd"/>
            <w:r w:rsidRPr="00885DA0">
              <w:t>中區農業改良場、</w:t>
            </w:r>
            <w:proofErr w:type="gramStart"/>
            <w:r w:rsidRPr="00885DA0">
              <w:t>臺</w:t>
            </w:r>
            <w:proofErr w:type="gramEnd"/>
            <w:r w:rsidRPr="00885DA0">
              <w:t>南區農業改良場、高雄區農業改良場、花蓮區農業改良場、衛生福利部、疾病管制署、環境保護署、檢查局改以其他項目刪減替代，科目自行調整。</w:t>
            </w:r>
          </w:p>
          <w:p w:rsidR="00FC3717" w:rsidRPr="00885DA0" w:rsidRDefault="00FC3717" w:rsidP="004A748C">
            <w:pPr>
              <w:pStyle w:val="23"/>
              <w:numPr>
                <w:ilvl w:val="0"/>
                <w:numId w:val="2"/>
              </w:numPr>
            </w:pPr>
            <w:r w:rsidRPr="00885DA0">
              <w:t>設備及投資：除資產作價投資、中央研究院、人事行政總處及所屬、中央選舉委員會及所屬、立法院主管、公務人員保障暨培訓委員會基本行政維持、國家文官學院及所屬、監察院、審計部、警政署及所屬、中央警察大學房屋建築及設備費、外交部駐外機構業務計畫、購置駐外機構館舍計畫與</w:t>
            </w:r>
            <w:proofErr w:type="gramStart"/>
            <w:r w:rsidRPr="00885DA0">
              <w:t>汰換駐</w:t>
            </w:r>
            <w:proofErr w:type="gramEnd"/>
            <w:r w:rsidRPr="00885DA0">
              <w:t>外機構公務車預算、法務部主管、勞工保險局、動植物防疫檢疫局高雄分局檢疫行政大樓興建工程、衛生福利部健全緊急醫療照護網絡、健全醫療衛生體系、</w:t>
            </w:r>
            <w:proofErr w:type="gramStart"/>
            <w:r w:rsidRPr="00885DA0">
              <w:t>醫</w:t>
            </w:r>
            <w:proofErr w:type="gramEnd"/>
            <w:r w:rsidRPr="00885DA0">
              <w:t>事人力培育與訓練、社會救助業務、保護服務業務相關預算、食品藥物管理署科技發展工作及食品藥物管理業務相關預算、中央健康</w:t>
            </w:r>
            <w:proofErr w:type="gramStart"/>
            <w:r w:rsidRPr="00885DA0">
              <w:t>保險署</w:t>
            </w:r>
            <w:proofErr w:type="gramEnd"/>
            <w:r w:rsidRPr="00885DA0">
              <w:t>、社會及家庭署辦</w:t>
            </w:r>
            <w:r w:rsidRPr="00885DA0">
              <w:lastRenderedPageBreak/>
              <w:t>理推展身心障礙者福利服務相關預算、海岸巡防署</w:t>
            </w:r>
            <w:proofErr w:type="gramStart"/>
            <w:r w:rsidRPr="00885DA0">
              <w:t>臺</w:t>
            </w:r>
            <w:proofErr w:type="gramEnd"/>
            <w:r w:rsidRPr="00885DA0">
              <w:t>北港海巡基地、海洋巡防總局艦艇大修經費及強化</w:t>
            </w:r>
            <w:proofErr w:type="gramStart"/>
            <w:r w:rsidRPr="00885DA0">
              <w:t>海巡編裝</w:t>
            </w:r>
            <w:proofErr w:type="gramEnd"/>
            <w:r w:rsidRPr="00885DA0">
              <w:t>發展方案不</w:t>
            </w:r>
            <w:proofErr w:type="gramStart"/>
            <w:r w:rsidRPr="00885DA0">
              <w:t>刪</w:t>
            </w:r>
            <w:proofErr w:type="gramEnd"/>
            <w:r w:rsidRPr="00885DA0">
              <w:t>；</w:t>
            </w:r>
            <w:proofErr w:type="gramStart"/>
            <w:r w:rsidRPr="00885DA0">
              <w:t>科技部增撥</w:t>
            </w:r>
            <w:proofErr w:type="gramEnd"/>
            <w:r w:rsidRPr="00885DA0">
              <w:t>國家科學技術發展基金統</w:t>
            </w:r>
            <w:proofErr w:type="gramStart"/>
            <w:r w:rsidRPr="00885DA0">
              <w:t>刪</w:t>
            </w:r>
            <w:proofErr w:type="gramEnd"/>
            <w:r w:rsidRPr="00885DA0">
              <w:rPr>
                <w:rFonts w:eastAsia="TimesNewRoman"/>
              </w:rPr>
              <w:t>1%</w:t>
            </w:r>
            <w:r w:rsidRPr="00885DA0">
              <w:t>；文化部主管統</w:t>
            </w:r>
            <w:proofErr w:type="gramStart"/>
            <w:r w:rsidRPr="00885DA0">
              <w:t>刪</w:t>
            </w:r>
            <w:proofErr w:type="gramEnd"/>
            <w:r w:rsidRPr="00885DA0">
              <w:rPr>
                <w:rFonts w:eastAsia="TimesNewRoman"/>
              </w:rPr>
              <w:t>3%</w:t>
            </w:r>
            <w:r w:rsidRPr="00885DA0">
              <w:t>；國立故宮博物院故宮南部院區籌建計畫統</w:t>
            </w:r>
            <w:proofErr w:type="gramStart"/>
            <w:r w:rsidRPr="00885DA0">
              <w:t>刪</w:t>
            </w:r>
            <w:proofErr w:type="gramEnd"/>
            <w:r w:rsidRPr="00885DA0">
              <w:rPr>
                <w:rFonts w:eastAsia="TimesNewRoman"/>
              </w:rPr>
              <w:t>4%</w:t>
            </w:r>
            <w:r w:rsidRPr="00885DA0">
              <w:t>；教育部主管統</w:t>
            </w:r>
            <w:proofErr w:type="gramStart"/>
            <w:r w:rsidRPr="00885DA0">
              <w:t>刪</w:t>
            </w:r>
            <w:proofErr w:type="gramEnd"/>
            <w:r w:rsidRPr="00885DA0">
              <w:rPr>
                <w:rFonts w:eastAsia="TimesNewRoman"/>
              </w:rPr>
              <w:t>7%</w:t>
            </w:r>
            <w:r w:rsidRPr="00885DA0">
              <w:t>外，其餘統</w:t>
            </w:r>
            <w:proofErr w:type="gramStart"/>
            <w:r w:rsidRPr="00885DA0">
              <w:t>刪</w:t>
            </w:r>
            <w:proofErr w:type="gramEnd"/>
            <w:r w:rsidRPr="00885DA0">
              <w:rPr>
                <w:rFonts w:eastAsia="TimesNewRoman"/>
              </w:rPr>
              <w:t>8%</w:t>
            </w:r>
            <w:r w:rsidRPr="00885DA0">
              <w:t>，其中司法院、最高法院、最高行政法院、</w:t>
            </w:r>
            <w:proofErr w:type="gramStart"/>
            <w:r w:rsidRPr="00885DA0">
              <w:t>臺</w:t>
            </w:r>
            <w:proofErr w:type="gramEnd"/>
            <w:r w:rsidRPr="00885DA0">
              <w:t>北高等行政法院、</w:t>
            </w:r>
            <w:proofErr w:type="gramStart"/>
            <w:r w:rsidRPr="00885DA0">
              <w:t>臺</w:t>
            </w:r>
            <w:proofErr w:type="gramEnd"/>
            <w:r w:rsidRPr="00885DA0">
              <w:t>中高等行政法院、高雄高等行政法院、公務員懲戒委員會、法官學院、智慧財產法院、臺灣高等法院、臺灣高等法院臺中分院、臺灣高等法院臺南分院、臺灣高等法院高雄分院、臺灣高等法院花蓮分院、臺灣</w:t>
            </w:r>
            <w:proofErr w:type="gramStart"/>
            <w:r w:rsidRPr="00885DA0">
              <w:t>臺</w:t>
            </w:r>
            <w:proofErr w:type="gramEnd"/>
            <w:r w:rsidRPr="00885DA0">
              <w:t>北地方法院、臺灣士林地方法院、臺灣新北地方法院、臺灣桃園地方法院、臺灣新竹地方法院、臺灣苗栗地方法院、臺灣</w:t>
            </w:r>
            <w:proofErr w:type="gramStart"/>
            <w:r w:rsidRPr="00885DA0">
              <w:t>臺</w:t>
            </w:r>
            <w:proofErr w:type="gramEnd"/>
            <w:r w:rsidRPr="00885DA0">
              <w:t>中地方法院、臺灣南投地方法院、臺灣雲林地方法院、臺灣嘉義地方法院、臺灣高雄地方法院、臺灣屏東地方法院、臺灣</w:t>
            </w:r>
            <w:proofErr w:type="gramStart"/>
            <w:r w:rsidRPr="00885DA0">
              <w:t>臺</w:t>
            </w:r>
            <w:proofErr w:type="gramEnd"/>
            <w:r w:rsidRPr="00885DA0">
              <w:t>東地方法院、臺灣花蓮地方法院、臺灣宜蘭地方法院、臺灣基隆地方法院、臺灣澎湖地方法院、臺灣高雄少年及家事法院、福建高等法院金門分院、福建金門地方法院、福建連江地方法院、考試院、公務人員退休撫</w:t>
            </w:r>
            <w:proofErr w:type="gramStart"/>
            <w:r w:rsidRPr="00885DA0">
              <w:t>卹</w:t>
            </w:r>
            <w:proofErr w:type="gramEnd"/>
            <w:r w:rsidRPr="00885DA0">
              <w:t>基金監理委員會、內政部、役政署、國防部、財政部、賦稅署、</w:t>
            </w:r>
            <w:proofErr w:type="gramStart"/>
            <w:r w:rsidRPr="00885DA0">
              <w:t>臺</w:t>
            </w:r>
            <w:proofErr w:type="gramEnd"/>
            <w:r w:rsidRPr="00885DA0">
              <w:t>北國稅局、高雄國稅局、北區國稅局及所屬、中區國稅局及所屬、南區國稅局及所屬、國有財產署及所屬、教育部、國民及學前教育署、國家圖書館、國立公共資訊圖書館、國立教育廣播電臺、國立海洋科技博物館、中央氣象局、觀光局及所屬、運輸研究所、公路總局及所屬、蒙藏委員會、農業委員會、家畜衛生試驗所、環境保護署、環境保護人員訓練所、海洋巡防總局、海岸巡防總局及所屬、金融監督管理委員會、銀行局、證券期貨局改以其他項目刪減替代，科目自行調整。</w:t>
            </w:r>
          </w:p>
          <w:p w:rsidR="000017E5" w:rsidRDefault="00FC3717" w:rsidP="004A748C">
            <w:pPr>
              <w:pStyle w:val="23"/>
              <w:numPr>
                <w:ilvl w:val="0"/>
                <w:numId w:val="2"/>
              </w:numPr>
            </w:pPr>
            <w:r w:rsidRPr="00885DA0">
              <w:t>對國內團體之捐助與政府機關間之補助：除法律</w:t>
            </w:r>
            <w:r w:rsidRPr="00885DA0">
              <w:lastRenderedPageBreak/>
              <w:t>義務支出、中央研究院、警政署及所屬、外交部、教育部主管、法務部主管、勞工保險局、漁業署捐助各級漁會辦理臺灣地區各漁業通訊電臺營運輔導、衛生福利部捐助財團法人國家衛生研究院發展計畫、落實長照十年計畫、推動長照服務體系及長照服務網業務相關預算、社會救助業務、保護服務業務、健全緊急醫療照護網絡、健全醫療衛生體系、</w:t>
            </w:r>
            <w:proofErr w:type="gramStart"/>
            <w:r w:rsidRPr="00885DA0">
              <w:t>醫</w:t>
            </w:r>
            <w:proofErr w:type="gramEnd"/>
            <w:r w:rsidRPr="00885DA0">
              <w:t>事人力培育與訓練、食品藥物管理署科技發展工作及食品藥物管理業務相關預算、中央健康</w:t>
            </w:r>
            <w:proofErr w:type="gramStart"/>
            <w:r w:rsidRPr="00885DA0">
              <w:t>保險署</w:t>
            </w:r>
            <w:proofErr w:type="gramEnd"/>
            <w:r w:rsidRPr="00885DA0">
              <w:t>、社會及家庭署辦理長期照顧十年計畫及建置長期照顧服務</w:t>
            </w:r>
            <w:proofErr w:type="gramStart"/>
            <w:r w:rsidRPr="00885DA0">
              <w:t>體系暨推展</w:t>
            </w:r>
            <w:proofErr w:type="gramEnd"/>
            <w:r w:rsidRPr="00885DA0">
              <w:t>身心障礙者福利服務相關預算、文化部主管、</w:t>
            </w:r>
            <w:proofErr w:type="gramStart"/>
            <w:r w:rsidRPr="00885DA0">
              <w:t>科技部對國家</w:t>
            </w:r>
            <w:proofErr w:type="gramEnd"/>
            <w:r w:rsidRPr="00885DA0">
              <w:t>災害防救科技中心、財團法人國家實驗研究院與國家同步輻射研究中心之捐助不</w:t>
            </w:r>
            <w:proofErr w:type="gramStart"/>
            <w:r w:rsidRPr="00885DA0">
              <w:t>刪</w:t>
            </w:r>
            <w:proofErr w:type="gramEnd"/>
            <w:r w:rsidRPr="00885DA0">
              <w:t>；經濟部科技預算、智慧財產局、工業局工業技術升級輔導計畫統</w:t>
            </w:r>
            <w:proofErr w:type="gramStart"/>
            <w:r w:rsidRPr="00885DA0">
              <w:t>刪</w:t>
            </w:r>
            <w:proofErr w:type="gramEnd"/>
            <w:r w:rsidRPr="000017E5">
              <w:rPr>
                <w:rFonts w:eastAsia="TimesNewRoman"/>
              </w:rPr>
              <w:t>1%</w:t>
            </w:r>
            <w:r w:rsidRPr="00885DA0">
              <w:t>外，其餘統</w:t>
            </w:r>
            <w:proofErr w:type="gramStart"/>
            <w:r w:rsidRPr="00885DA0">
              <w:t>刪</w:t>
            </w:r>
            <w:proofErr w:type="gramEnd"/>
            <w:r w:rsidRPr="000017E5">
              <w:rPr>
                <w:rFonts w:eastAsia="TimesNewRoman"/>
              </w:rPr>
              <w:t>5%</w:t>
            </w:r>
            <w:r w:rsidRPr="00885DA0">
              <w:t>，其中客家委員會及所屬、內政部、營建署及所屬、國防部所屬、交通部、觀光局及所屬、公路總局及所屬、核能研究所、桃園區農業改良場、動植物防疫檢疫局及所屬、環境保護署、新竹科學工業園區管理局及所屬改以其他項目刪減替代，科目自行調整。</w:t>
            </w:r>
          </w:p>
          <w:p w:rsidR="00FC3717" w:rsidRPr="00885DA0" w:rsidRDefault="00FC3717" w:rsidP="004A748C">
            <w:pPr>
              <w:pStyle w:val="23"/>
              <w:numPr>
                <w:ilvl w:val="0"/>
                <w:numId w:val="2"/>
              </w:numPr>
            </w:pPr>
            <w:r w:rsidRPr="00885DA0">
              <w:t>對地方政府之補助：除法律義務支出、一般性補助款、教育部主管、法務部主管、衛生福利部落實長照十年計畫、推動長照服務體系及長照服務網業務相關預算、社會救助業務、健全緊急醫療照護網絡、食品藥物管理署科技發展工作及食品藥物管理業務相關預算、中央健康</w:t>
            </w:r>
            <w:proofErr w:type="gramStart"/>
            <w:r w:rsidRPr="00885DA0">
              <w:t>保險署</w:t>
            </w:r>
            <w:proofErr w:type="gramEnd"/>
            <w:r w:rsidRPr="00885DA0">
              <w:t>、社會及家庭署辦理長期照顧十年計畫及建置長期照顧服務</w:t>
            </w:r>
            <w:proofErr w:type="gramStart"/>
            <w:r w:rsidRPr="00885DA0">
              <w:t>體系暨推展</w:t>
            </w:r>
            <w:proofErr w:type="gramEnd"/>
            <w:r w:rsidRPr="00885DA0">
              <w:t>身心障礙者福利服務相關預算、文化部主管不</w:t>
            </w:r>
            <w:proofErr w:type="gramStart"/>
            <w:r w:rsidRPr="00885DA0">
              <w:t>刪</w:t>
            </w:r>
            <w:proofErr w:type="gramEnd"/>
            <w:r w:rsidRPr="00885DA0">
              <w:t>外，其餘統</w:t>
            </w:r>
            <w:proofErr w:type="gramStart"/>
            <w:r w:rsidRPr="00885DA0">
              <w:t>刪</w:t>
            </w:r>
            <w:proofErr w:type="gramEnd"/>
            <w:r w:rsidRPr="000017E5">
              <w:rPr>
                <w:rFonts w:eastAsia="TimesNewRoman"/>
              </w:rPr>
              <w:t>5%</w:t>
            </w:r>
            <w:r w:rsidRPr="00885DA0">
              <w:t>，</w:t>
            </w:r>
            <w:proofErr w:type="gramStart"/>
            <w:r w:rsidRPr="00885DA0">
              <w:t>其中役</w:t>
            </w:r>
            <w:proofErr w:type="gramEnd"/>
            <w:r w:rsidRPr="00885DA0">
              <w:t>政署、觀光局及所屬、動植物防疫檢疫局及所屬、衛生</w:t>
            </w:r>
            <w:proofErr w:type="gramStart"/>
            <w:r w:rsidRPr="00885DA0">
              <w:t>福利部改以</w:t>
            </w:r>
            <w:proofErr w:type="gramEnd"/>
            <w:r w:rsidRPr="00885DA0">
              <w:t>其他項目刪減替代，科目自行調整。</w:t>
            </w:r>
          </w:p>
          <w:p w:rsidR="00FC3717" w:rsidRPr="00885DA0" w:rsidRDefault="00FC3717" w:rsidP="004A748C">
            <w:pPr>
              <w:pStyle w:val="23"/>
              <w:numPr>
                <w:ilvl w:val="0"/>
                <w:numId w:val="2"/>
              </w:numPr>
            </w:pPr>
            <w:r w:rsidRPr="00885DA0">
              <w:t>人事費：除退休退職給付、人事行政總處退休公</w:t>
            </w:r>
            <w:r w:rsidRPr="00885DA0">
              <w:lastRenderedPageBreak/>
              <w:t>教人員年終慰問金調整準備、國立故宮博物院、中央選舉委員會及所屬、立法院主管（不含委員問政油料補助費）、公務人員保障暨培訓委員會、國家文官學院及所屬、監察院主管、警政署及所屬、外交部主管、體育署、法務部主管不</w:t>
            </w:r>
            <w:proofErr w:type="gramStart"/>
            <w:r w:rsidRPr="00885DA0">
              <w:t>刪</w:t>
            </w:r>
            <w:proofErr w:type="gramEnd"/>
            <w:r w:rsidRPr="00885DA0">
              <w:t>；立法院主管委員問政油料補助費統</w:t>
            </w:r>
            <w:proofErr w:type="gramStart"/>
            <w:r w:rsidRPr="00885DA0">
              <w:t>刪</w:t>
            </w:r>
            <w:proofErr w:type="gramEnd"/>
            <w:r w:rsidRPr="000017E5">
              <w:rPr>
                <w:rFonts w:eastAsia="TimesNewRoman"/>
              </w:rPr>
              <w:t>30%</w:t>
            </w:r>
            <w:r w:rsidRPr="00885DA0">
              <w:t>外，其餘統</w:t>
            </w:r>
            <w:proofErr w:type="gramStart"/>
            <w:r w:rsidRPr="00885DA0">
              <w:t>刪</w:t>
            </w:r>
            <w:proofErr w:type="gramEnd"/>
            <w:r w:rsidRPr="000017E5">
              <w:rPr>
                <w:rFonts w:eastAsia="TimesNewRoman"/>
              </w:rPr>
              <w:t>1%</w:t>
            </w:r>
            <w:r w:rsidRPr="00885DA0">
              <w:t>，其中中央研究院、主計總處、公務人力發展中心、地方行政研習中心、檔案管理局、飛航安全調查委員會、公共工程委員會、司法院、最高法院、最高行政法院、</w:t>
            </w:r>
            <w:proofErr w:type="gramStart"/>
            <w:r w:rsidRPr="00885DA0">
              <w:t>臺</w:t>
            </w:r>
            <w:proofErr w:type="gramEnd"/>
            <w:r w:rsidRPr="00885DA0">
              <w:t>北高等行政法院、</w:t>
            </w:r>
            <w:proofErr w:type="gramStart"/>
            <w:r w:rsidRPr="00885DA0">
              <w:t>臺</w:t>
            </w:r>
            <w:proofErr w:type="gramEnd"/>
            <w:r w:rsidRPr="00885DA0">
              <w:t>中高等行政法院、高雄高等行政法院、公務員懲戒委員會、法官學院、智慧財產法院、臺灣高等法院、臺灣高等法院臺中分院、臺灣高等法院臺南分院、臺灣高等法院高雄分院、臺灣高等法院花蓮分院、臺灣</w:t>
            </w:r>
            <w:proofErr w:type="gramStart"/>
            <w:r w:rsidRPr="00885DA0">
              <w:t>臺</w:t>
            </w:r>
            <w:proofErr w:type="gramEnd"/>
            <w:r w:rsidRPr="00885DA0">
              <w:t>北地方法院、臺灣士林地方法院、臺灣新北地方法院、臺灣桃園地方法院、臺灣新竹地方法院、臺灣苗栗地方法院、臺灣</w:t>
            </w:r>
            <w:proofErr w:type="gramStart"/>
            <w:r w:rsidRPr="00885DA0">
              <w:t>臺</w:t>
            </w:r>
            <w:proofErr w:type="gramEnd"/>
            <w:r w:rsidRPr="00885DA0">
              <w:t>中地方法院、臺灣南投地方法院、臺灣彰化地方法院、臺灣雲林地方法院、臺灣嘉義地方法院、臺灣</w:t>
            </w:r>
            <w:proofErr w:type="gramStart"/>
            <w:r w:rsidRPr="00885DA0">
              <w:t>臺</w:t>
            </w:r>
            <w:proofErr w:type="gramEnd"/>
            <w:r w:rsidRPr="00885DA0">
              <w:t>南地方法院、臺灣高雄地方法院、臺灣屏東地方法院、臺灣</w:t>
            </w:r>
            <w:proofErr w:type="gramStart"/>
            <w:r w:rsidRPr="00885DA0">
              <w:t>臺</w:t>
            </w:r>
            <w:proofErr w:type="gramEnd"/>
            <w:r w:rsidRPr="00885DA0">
              <w:t>東地方法院、臺灣花蓮地方法院、臺灣宜蘭地方法院、臺灣基隆地方法院、臺灣澎湖地方法院、臺灣高雄少年及家事法院、福建高等法院金門分院、福建金門地方法院、福建連江地方法院、考試院、考選部、消防署及所屬、役政署、入出國及移民署、建築研究所、空中勤務總隊、國防部所屬、國庫署、</w:t>
            </w:r>
            <w:proofErr w:type="gramStart"/>
            <w:r w:rsidRPr="00885DA0">
              <w:t>臺</w:t>
            </w:r>
            <w:proofErr w:type="gramEnd"/>
            <w:r w:rsidRPr="00885DA0">
              <w:t>北國稅局、高雄國稅局、北區國稅局及所屬、中區國稅局及所屬、南區國稅局及所屬、國有財產署及所屬、國家圖書館、國立公共資訊圖書館、國立教育廣播電臺、國立海洋科技博物館、水利署及所屬、中央地質調查所、交通部、民用航空局、中央氣象局、觀光局及所屬、運輸研究所、公路總局及所屬、勞動及職業安全衛生研究所、林務局、水</w:t>
            </w:r>
            <w:r w:rsidRPr="00885DA0">
              <w:lastRenderedPageBreak/>
              <w:t>土保持局、畜產試驗所、家畜衛生試驗所、茶業改良場、種苗改良繁殖場、桃園區農業改良場、</w:t>
            </w:r>
            <w:proofErr w:type="gramStart"/>
            <w:r w:rsidRPr="00885DA0">
              <w:t>臺</w:t>
            </w:r>
            <w:proofErr w:type="gramEnd"/>
            <w:r w:rsidRPr="00885DA0">
              <w:t>南區農業改良場、環境保護署、環境檢驗所、環境保護人員訓練所、海岸巡防署主管、證券期貨局改以其他項目刪減替代，科目自行調整。</w:t>
            </w:r>
          </w:p>
          <w:p w:rsidR="005B5755" w:rsidRPr="005B5755" w:rsidRDefault="00FC3717" w:rsidP="004A748C">
            <w:pPr>
              <w:pStyle w:val="23"/>
              <w:numPr>
                <w:ilvl w:val="0"/>
                <w:numId w:val="2"/>
              </w:numPr>
              <w:rPr>
                <w:rFonts w:ascii="新細明體" w:cs="新細明體"/>
              </w:rPr>
            </w:pPr>
            <w:r w:rsidRPr="00885DA0">
              <w:t>國庫</w:t>
            </w:r>
            <w:r w:rsidRPr="00FD1C4D">
              <w:rPr>
                <w:color w:val="auto"/>
              </w:rPr>
              <w:t>署「國債付息」減列</w:t>
            </w:r>
            <w:r w:rsidRPr="00FD1C4D">
              <w:rPr>
                <w:rFonts w:eastAsia="TimesNewRoman"/>
                <w:color w:val="auto"/>
              </w:rPr>
              <w:t>2</w:t>
            </w:r>
            <w:r w:rsidRPr="00FD1C4D">
              <w:rPr>
                <w:color w:val="auto"/>
              </w:rPr>
              <w:t>億元</w:t>
            </w:r>
            <w:r w:rsidR="005B5755" w:rsidRPr="00FD1C4D">
              <w:rPr>
                <w:color w:val="auto"/>
              </w:rPr>
              <w:t>。</w:t>
            </w:r>
          </w:p>
        </w:tc>
        <w:tc>
          <w:tcPr>
            <w:tcW w:w="4366" w:type="dxa"/>
            <w:shd w:val="clear" w:color="auto" w:fill="auto"/>
          </w:tcPr>
          <w:p w:rsidR="000D2E1D" w:rsidRPr="00FA4C3D" w:rsidRDefault="000F2056"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lastRenderedPageBreak/>
              <w:t>已依本決議統</w:t>
            </w:r>
            <w:proofErr w:type="gramStart"/>
            <w:r>
              <w:rPr>
                <w:rFonts w:ascii="Arial" w:hAnsi="Arial" w:cs="Arial" w:hint="eastAsia"/>
                <w:color w:val="000000"/>
                <w:kern w:val="0"/>
                <w:sz w:val="20"/>
                <w:szCs w:val="20"/>
              </w:rPr>
              <w:t>刪</w:t>
            </w:r>
            <w:proofErr w:type="gramEnd"/>
            <w:r>
              <w:rPr>
                <w:rFonts w:ascii="Arial" w:hAnsi="Arial" w:cs="Arial" w:hint="eastAsia"/>
                <w:color w:val="000000"/>
                <w:kern w:val="0"/>
                <w:sz w:val="20"/>
                <w:szCs w:val="20"/>
              </w:rPr>
              <w:t>項目刪減，並據以編列</w:t>
            </w:r>
            <w:proofErr w:type="gramStart"/>
            <w:r>
              <w:rPr>
                <w:rFonts w:ascii="Arial" w:hAnsi="Arial" w:cs="Arial" w:hint="eastAsia"/>
                <w:color w:val="000000"/>
                <w:kern w:val="0"/>
                <w:sz w:val="20"/>
                <w:szCs w:val="20"/>
              </w:rPr>
              <w:t>104</w:t>
            </w:r>
            <w:proofErr w:type="gramEnd"/>
            <w:r>
              <w:rPr>
                <w:rFonts w:ascii="Arial" w:hAnsi="Arial" w:cs="Arial" w:hint="eastAsia"/>
                <w:color w:val="000000"/>
                <w:kern w:val="0"/>
                <w:sz w:val="20"/>
                <w:szCs w:val="20"/>
              </w:rPr>
              <w:t>年度法定預算。</w:t>
            </w:r>
          </w:p>
        </w:tc>
      </w:tr>
      <w:tr w:rsidR="000D2E1D" w:rsidRPr="00FA4C3D" w:rsidTr="00EA6D93">
        <w:trPr>
          <w:trHeight w:val="495"/>
        </w:trPr>
        <w:tc>
          <w:tcPr>
            <w:tcW w:w="1044" w:type="dxa"/>
            <w:shd w:val="clear" w:color="auto" w:fill="auto"/>
          </w:tcPr>
          <w:p w:rsidR="000D2E1D" w:rsidRPr="00FA4C3D" w:rsidRDefault="000D2E1D"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lastRenderedPageBreak/>
              <w:t>(</w:t>
            </w:r>
            <w:r w:rsidRPr="00FA4C3D">
              <w:rPr>
                <w:rFonts w:ascii="Arial" w:hAnsi="Arial" w:cs="Arial"/>
                <w:color w:val="000000"/>
                <w:kern w:val="0"/>
                <w:sz w:val="20"/>
                <w:szCs w:val="20"/>
              </w:rPr>
              <w:t>三</w:t>
            </w:r>
            <w:r w:rsidRPr="00FA4C3D">
              <w:rPr>
                <w:rFonts w:ascii="Arial" w:hAnsi="Arial" w:cs="Arial"/>
                <w:color w:val="000000"/>
                <w:kern w:val="0"/>
                <w:sz w:val="20"/>
                <w:szCs w:val="20"/>
              </w:rPr>
              <w:t>)</w:t>
            </w:r>
          </w:p>
          <w:p w:rsidR="000D2E1D" w:rsidRPr="00FA4C3D" w:rsidRDefault="000D2E1D" w:rsidP="007004F3">
            <w:pPr>
              <w:spacing w:line="360" w:lineRule="exact"/>
              <w:jc w:val="center"/>
              <w:rPr>
                <w:rFonts w:ascii="Arial" w:hAnsi="Arial" w:cs="Arial"/>
                <w:color w:val="000000"/>
                <w:kern w:val="0"/>
                <w:sz w:val="20"/>
                <w:szCs w:val="20"/>
              </w:rPr>
            </w:pPr>
          </w:p>
        </w:tc>
        <w:tc>
          <w:tcPr>
            <w:tcW w:w="4683" w:type="dxa"/>
            <w:shd w:val="clear" w:color="auto" w:fill="auto"/>
          </w:tcPr>
          <w:p w:rsidR="00A37722" w:rsidRPr="00D912DB" w:rsidRDefault="00A37722" w:rsidP="00A37722">
            <w:pPr>
              <w:pStyle w:val="23"/>
            </w:pPr>
            <w:r w:rsidRPr="00D912DB">
              <w:t>近來國際原油價格持續重挫，</w:t>
            </w:r>
            <w:proofErr w:type="gramStart"/>
            <w:r w:rsidRPr="00D912DB">
              <w:t>國內汽、</w:t>
            </w:r>
            <w:proofErr w:type="gramEnd"/>
            <w:r w:rsidRPr="00D912DB">
              <w:t>柴油價格亦不斷下跌；日前中油再度宣布自</w:t>
            </w:r>
            <w:r w:rsidRPr="00D912DB">
              <w:rPr>
                <w:rFonts w:eastAsia="TimesNewRoman"/>
              </w:rPr>
              <w:t>2015</w:t>
            </w:r>
            <w:r w:rsidRPr="00D912DB">
              <w:t>年</w:t>
            </w:r>
            <w:r w:rsidRPr="00D912DB">
              <w:rPr>
                <w:rFonts w:eastAsia="TimesNewRoman"/>
              </w:rPr>
              <w:t>1</w:t>
            </w:r>
            <w:r w:rsidRPr="00D912DB">
              <w:t>月</w:t>
            </w:r>
            <w:r w:rsidRPr="00D912DB">
              <w:rPr>
                <w:rFonts w:eastAsia="TimesNewRoman"/>
              </w:rPr>
              <w:t>12</w:t>
            </w:r>
            <w:r w:rsidRPr="00D912DB">
              <w:t>日起調降各式汽、柴油價格，其中</w:t>
            </w:r>
            <w:r w:rsidRPr="00D912DB">
              <w:rPr>
                <w:rFonts w:eastAsia="TimesNewRoman"/>
              </w:rPr>
              <w:t>95</w:t>
            </w:r>
            <w:r w:rsidRPr="00D912DB">
              <w:t>無鉛調降為每公升</w:t>
            </w:r>
            <w:r w:rsidRPr="00D912DB">
              <w:rPr>
                <w:rFonts w:eastAsia="TimesNewRoman"/>
              </w:rPr>
              <w:t>24.6</w:t>
            </w:r>
            <w:r w:rsidRPr="00D912DB">
              <w:t>元，</w:t>
            </w:r>
            <w:proofErr w:type="gramStart"/>
            <w:r w:rsidRPr="00D912DB">
              <w:t>較編製</w:t>
            </w:r>
            <w:r w:rsidRPr="00D912DB">
              <w:rPr>
                <w:rFonts w:eastAsia="TimesNewRoman"/>
              </w:rPr>
              <w:t>104</w:t>
            </w:r>
            <w:proofErr w:type="gramEnd"/>
            <w:r w:rsidRPr="00D912DB">
              <w:t>年度中央政府總預算案時按每公升</w:t>
            </w:r>
            <w:r w:rsidRPr="00D912DB">
              <w:rPr>
                <w:rFonts w:eastAsia="TimesNewRoman"/>
              </w:rPr>
              <w:t>35.1</w:t>
            </w:r>
            <w:r w:rsidRPr="00D912DB">
              <w:t>元編列，已有大幅差距；</w:t>
            </w:r>
            <w:proofErr w:type="gramStart"/>
            <w:r w:rsidRPr="00D912DB">
              <w:t>爰</w:t>
            </w:r>
            <w:proofErr w:type="gramEnd"/>
            <w:r w:rsidRPr="00D912DB">
              <w:t>予減列</w:t>
            </w:r>
            <w:proofErr w:type="gramStart"/>
            <w:r w:rsidRPr="00D912DB">
              <w:rPr>
                <w:rFonts w:eastAsia="TimesNewRoman"/>
              </w:rPr>
              <w:t>104</w:t>
            </w:r>
            <w:proofErr w:type="gramEnd"/>
            <w:r w:rsidRPr="00D912DB">
              <w:t>年度中央政府各機關油料費</w:t>
            </w:r>
            <w:r w:rsidRPr="00D912DB">
              <w:rPr>
                <w:rFonts w:eastAsia="TimesNewRoman"/>
              </w:rPr>
              <w:t>30%</w:t>
            </w:r>
            <w:r w:rsidRPr="00D912DB">
              <w:t>；另年度預算執行中，若遇油價大幅波動，則在油料用量之共同標準範圍內，各機關應依以下原則辦理，主計總處並應追蹤控管執行情形：</w:t>
            </w:r>
          </w:p>
          <w:p w:rsidR="00A37722" w:rsidRPr="00D912DB" w:rsidRDefault="00A37722" w:rsidP="004A748C">
            <w:pPr>
              <w:pStyle w:val="23"/>
              <w:numPr>
                <w:ilvl w:val="0"/>
                <w:numId w:val="4"/>
              </w:numPr>
            </w:pPr>
            <w:r w:rsidRPr="00D912DB">
              <w:t>油價下跌時，按實際油價</w:t>
            </w:r>
            <w:proofErr w:type="gramStart"/>
            <w:r w:rsidRPr="00D912DB">
              <w:t>覈實列</w:t>
            </w:r>
            <w:proofErr w:type="gramEnd"/>
            <w:r w:rsidRPr="00D912DB">
              <w:t>支，結餘部分並不得移為他用。</w:t>
            </w:r>
          </w:p>
          <w:p w:rsidR="000D2E1D" w:rsidRPr="00D912DB" w:rsidRDefault="00A37722" w:rsidP="004A748C">
            <w:pPr>
              <w:pStyle w:val="23"/>
              <w:numPr>
                <w:ilvl w:val="0"/>
                <w:numId w:val="4"/>
              </w:numPr>
            </w:pPr>
            <w:r w:rsidRPr="00D912DB">
              <w:t>油價大幅上漲，致所須經費不足時，得以各機關第一預備金支應；若嚴重不敷，得申請動支第二預備金。</w:t>
            </w:r>
          </w:p>
        </w:tc>
        <w:tc>
          <w:tcPr>
            <w:tcW w:w="4366" w:type="dxa"/>
            <w:shd w:val="clear" w:color="auto" w:fill="auto"/>
          </w:tcPr>
          <w:p w:rsidR="000D2E1D" w:rsidRPr="00FA4C3D" w:rsidRDefault="00AD7347"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遵照決議事項辦理。</w:t>
            </w:r>
          </w:p>
        </w:tc>
      </w:tr>
      <w:tr w:rsidR="000D2E1D" w:rsidRPr="00FA4C3D" w:rsidTr="00EA6D93">
        <w:trPr>
          <w:trHeight w:val="227"/>
        </w:trPr>
        <w:tc>
          <w:tcPr>
            <w:tcW w:w="1044" w:type="dxa"/>
            <w:shd w:val="clear" w:color="auto" w:fill="auto"/>
          </w:tcPr>
          <w:p w:rsidR="000D2E1D" w:rsidRPr="00FA4C3D" w:rsidRDefault="000D2E1D"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四</w:t>
            </w:r>
            <w:r w:rsidRPr="00FA4C3D">
              <w:rPr>
                <w:rFonts w:ascii="Arial" w:hAnsi="Arial" w:cs="Arial"/>
                <w:color w:val="000000"/>
                <w:kern w:val="0"/>
                <w:sz w:val="20"/>
                <w:szCs w:val="20"/>
              </w:rPr>
              <w:t>)</w:t>
            </w:r>
          </w:p>
        </w:tc>
        <w:tc>
          <w:tcPr>
            <w:tcW w:w="4683" w:type="dxa"/>
            <w:shd w:val="clear" w:color="auto" w:fill="auto"/>
          </w:tcPr>
          <w:p w:rsidR="00A37722" w:rsidRPr="00D912DB" w:rsidRDefault="00A37722" w:rsidP="00A37722">
            <w:pPr>
              <w:pStyle w:val="23"/>
            </w:pPr>
            <w:r w:rsidRPr="00D912DB">
              <w:t>針對</w:t>
            </w:r>
            <w:proofErr w:type="gramStart"/>
            <w:r w:rsidRPr="00D912DB">
              <w:rPr>
                <w:rFonts w:eastAsia="TimesNewRoman"/>
              </w:rPr>
              <w:t>104</w:t>
            </w:r>
            <w:proofErr w:type="gramEnd"/>
            <w:r w:rsidRPr="00D912DB">
              <w:t>年度中央政府總預算中有關「自由經濟示範區」相關預算共計編列</w:t>
            </w:r>
            <w:r w:rsidRPr="00D912DB">
              <w:rPr>
                <w:rFonts w:eastAsia="TimesNewRoman"/>
              </w:rPr>
              <w:t>75</w:t>
            </w:r>
            <w:r w:rsidRPr="00D912DB">
              <w:t>億</w:t>
            </w:r>
            <w:r w:rsidRPr="00D912DB">
              <w:rPr>
                <w:rFonts w:eastAsia="TimesNewRoman"/>
              </w:rPr>
              <w:t>9,945</w:t>
            </w:r>
            <w:r w:rsidRPr="00D912DB">
              <w:t>萬</w:t>
            </w:r>
            <w:r w:rsidRPr="00D912DB">
              <w:rPr>
                <w:rFonts w:eastAsia="TimesNewRoman"/>
              </w:rPr>
              <w:t>5,000</w:t>
            </w:r>
            <w:r w:rsidRPr="00D912DB">
              <w:t>元，包括：國家發展委員會編列</w:t>
            </w:r>
            <w:r w:rsidRPr="00D912DB">
              <w:rPr>
                <w:rFonts w:eastAsia="TimesNewRoman"/>
              </w:rPr>
              <w:t>1,670</w:t>
            </w:r>
            <w:r w:rsidRPr="00D912DB">
              <w:t>萬元、經濟部智慧財產局編列</w:t>
            </w:r>
            <w:r w:rsidRPr="00D912DB">
              <w:rPr>
                <w:rFonts w:eastAsia="TimesNewRoman"/>
              </w:rPr>
              <w:t>20</w:t>
            </w:r>
            <w:r w:rsidRPr="00D912DB">
              <w:t>萬元、行政院農業委員會編列</w:t>
            </w:r>
            <w:r w:rsidRPr="00D912DB">
              <w:rPr>
                <w:rFonts w:eastAsia="TimesNewRoman"/>
              </w:rPr>
              <w:t>3</w:t>
            </w:r>
            <w:r w:rsidRPr="00D912DB">
              <w:t>億</w:t>
            </w:r>
            <w:r w:rsidRPr="00D912DB">
              <w:rPr>
                <w:rFonts w:eastAsia="TimesNewRoman"/>
              </w:rPr>
              <w:t>8,573</w:t>
            </w:r>
            <w:r w:rsidRPr="00D912DB">
              <w:t>萬元、衛生福利部編列</w:t>
            </w:r>
            <w:r w:rsidRPr="00D912DB">
              <w:rPr>
                <w:rFonts w:eastAsia="TimesNewRoman"/>
              </w:rPr>
              <w:t>1</w:t>
            </w:r>
            <w:r w:rsidRPr="00D912DB">
              <w:t>億</w:t>
            </w:r>
            <w:r w:rsidRPr="00D912DB">
              <w:rPr>
                <w:rFonts w:eastAsia="TimesNewRoman"/>
              </w:rPr>
              <w:t>4,600</w:t>
            </w:r>
            <w:r w:rsidRPr="00D912DB">
              <w:t>萬元、經濟特別收入基金</w:t>
            </w:r>
            <w:r w:rsidRPr="00D912DB">
              <w:rPr>
                <w:rFonts w:eastAsia="TimesNewRoman"/>
              </w:rPr>
              <w:t>1,000</w:t>
            </w:r>
            <w:r w:rsidRPr="00D912DB">
              <w:t>萬元、桃園國際機場股份有限公司</w:t>
            </w:r>
            <w:r w:rsidRPr="00D912DB">
              <w:rPr>
                <w:rFonts w:eastAsia="TimesNewRoman"/>
              </w:rPr>
              <w:t>6,400</w:t>
            </w:r>
            <w:r w:rsidRPr="00D912DB">
              <w:t>萬元、臺灣港務股份有限公司</w:t>
            </w:r>
            <w:r w:rsidRPr="00D912DB">
              <w:rPr>
                <w:rFonts w:eastAsia="TimesNewRoman"/>
              </w:rPr>
              <w:t>34</w:t>
            </w:r>
            <w:r w:rsidRPr="00D912DB">
              <w:t>億</w:t>
            </w:r>
            <w:r w:rsidRPr="00D912DB">
              <w:rPr>
                <w:rFonts w:eastAsia="TimesNewRoman"/>
              </w:rPr>
              <w:t>3,715</w:t>
            </w:r>
            <w:r w:rsidRPr="00D912DB">
              <w:t>萬</w:t>
            </w:r>
            <w:r w:rsidRPr="00D912DB">
              <w:rPr>
                <w:rFonts w:eastAsia="TimesNewRoman"/>
              </w:rPr>
              <w:t>1,000</w:t>
            </w:r>
            <w:r w:rsidRPr="00D912DB">
              <w:t>元、航港建設基金</w:t>
            </w:r>
            <w:r w:rsidRPr="00D912DB">
              <w:rPr>
                <w:rFonts w:eastAsia="TimesNewRoman"/>
              </w:rPr>
              <w:t>35</w:t>
            </w:r>
            <w:r w:rsidRPr="00D912DB">
              <w:t>億</w:t>
            </w:r>
            <w:r w:rsidRPr="00D912DB">
              <w:rPr>
                <w:rFonts w:eastAsia="TimesNewRoman"/>
              </w:rPr>
              <w:t>3,477</w:t>
            </w:r>
            <w:r w:rsidRPr="00D912DB">
              <w:t>萬</w:t>
            </w:r>
            <w:r w:rsidRPr="00D912DB">
              <w:rPr>
                <w:rFonts w:eastAsia="TimesNewRoman"/>
              </w:rPr>
              <w:t>4,000</w:t>
            </w:r>
            <w:r w:rsidRPr="00D912DB">
              <w:t>元、農業特別收入基金</w:t>
            </w:r>
            <w:r w:rsidRPr="00D912DB">
              <w:rPr>
                <w:rFonts w:eastAsia="TimesNewRoman"/>
              </w:rPr>
              <w:t>490</w:t>
            </w:r>
            <w:r w:rsidRPr="00D912DB">
              <w:t>萬元。</w:t>
            </w:r>
          </w:p>
          <w:p w:rsidR="00D912DB" w:rsidRDefault="00A37722" w:rsidP="00E82FB5">
            <w:pPr>
              <w:pStyle w:val="23"/>
              <w:ind w:firstLineChars="200" w:firstLine="400"/>
            </w:pPr>
            <w:r w:rsidRPr="00D912DB">
              <w:t>經查，「自由經濟示範區規劃方案」於</w:t>
            </w:r>
            <w:r w:rsidRPr="00D912DB">
              <w:rPr>
                <w:rFonts w:eastAsia="TimesNewRoman"/>
              </w:rPr>
              <w:t>102</w:t>
            </w:r>
            <w:r w:rsidRPr="00D912DB">
              <w:t>年</w:t>
            </w:r>
            <w:r w:rsidRPr="00D912DB">
              <w:rPr>
                <w:rFonts w:eastAsia="TimesNewRoman"/>
              </w:rPr>
              <w:t>8</w:t>
            </w:r>
            <w:r w:rsidRPr="00D912DB">
              <w:t>月啟動第</w:t>
            </w:r>
            <w:r w:rsidRPr="00D912DB">
              <w:rPr>
                <w:rFonts w:eastAsia="TimesNewRoman"/>
              </w:rPr>
              <w:t>1</w:t>
            </w:r>
            <w:r w:rsidRPr="00D912DB">
              <w:t>階段推動計畫，</w:t>
            </w:r>
            <w:proofErr w:type="gramStart"/>
            <w:r w:rsidRPr="00D912DB">
              <w:t>自貿港區</w:t>
            </w:r>
            <w:proofErr w:type="gramEnd"/>
            <w:r w:rsidRPr="00D912DB">
              <w:t>為自由經濟示範區第</w:t>
            </w:r>
            <w:r w:rsidRPr="00D912DB">
              <w:rPr>
                <w:rFonts w:eastAsia="TimesNewRoman"/>
              </w:rPr>
              <w:t>1</w:t>
            </w:r>
            <w:r w:rsidRPr="00D912DB">
              <w:t>階段之核心，惟推動效益卻未如預期，無法彌補我國港埠整體進出口貨物流失量，</w:t>
            </w:r>
            <w:proofErr w:type="gramStart"/>
            <w:r w:rsidRPr="00D912DB">
              <w:t>且入駐</w:t>
            </w:r>
            <w:proofErr w:type="gramEnd"/>
            <w:r w:rsidRPr="00D912DB">
              <w:t>港區事業數及進用員工人數未見成長，</w:t>
            </w:r>
            <w:proofErr w:type="gramStart"/>
            <w:r w:rsidRPr="00D912DB">
              <w:t>此外，</w:t>
            </w:r>
            <w:proofErr w:type="gramEnd"/>
            <w:r w:rsidRPr="00D912DB">
              <w:t>再以</w:t>
            </w:r>
            <w:r w:rsidRPr="00D912DB">
              <w:lastRenderedPageBreak/>
              <w:t>我國自由貿易港區歷年來入駐港區事業家數及進用員工人數觀之，推行自由貿易示範區計畫後，入駐港區事業數及進用員工人數亦未見明顯成長；另示範區</w:t>
            </w:r>
            <w:proofErr w:type="gramStart"/>
            <w:r w:rsidRPr="00D912DB">
              <w:rPr>
                <w:rFonts w:eastAsia="TimesNewRoman"/>
              </w:rPr>
              <w:t>104</w:t>
            </w:r>
            <w:proofErr w:type="gramEnd"/>
            <w:r w:rsidRPr="00D912DB">
              <w:t>年度關鍵績效指標考核面向不足，</w:t>
            </w:r>
            <w:proofErr w:type="gramStart"/>
            <w:r w:rsidRPr="00D912DB">
              <w:t>且跨機關</w:t>
            </w:r>
            <w:proofErr w:type="gramEnd"/>
            <w:r w:rsidRPr="00D912DB">
              <w:t>間衡量標準不一，有欠妥適。</w:t>
            </w:r>
          </w:p>
          <w:p w:rsidR="000D2E1D" w:rsidRPr="00D912DB" w:rsidRDefault="00A37722" w:rsidP="00E82FB5">
            <w:pPr>
              <w:pStyle w:val="23"/>
              <w:ind w:firstLineChars="200" w:firstLine="400"/>
            </w:pPr>
            <w:proofErr w:type="gramStart"/>
            <w:r w:rsidRPr="00D912DB">
              <w:t>另</w:t>
            </w:r>
            <w:proofErr w:type="gramEnd"/>
            <w:r w:rsidRPr="00D912DB">
              <w:t>，有</w:t>
            </w:r>
            <w:proofErr w:type="gramStart"/>
            <w:r w:rsidRPr="00D912DB">
              <w:t>鑑</w:t>
            </w:r>
            <w:proofErr w:type="gramEnd"/>
            <w:r w:rsidRPr="00D912DB">
              <w:t>於「自由經濟示範區規劃方案」尚未三讀通過，各部會即逕自編列該預算執行計畫，實有未當。事實上，就政府不斷宣傳國際的案例：韓國仁川</w:t>
            </w:r>
            <w:proofErr w:type="gramStart"/>
            <w:r w:rsidRPr="00D912DB">
              <w:t>自經區言之</w:t>
            </w:r>
            <w:proofErr w:type="gramEnd"/>
            <w:r w:rsidRPr="00D912DB">
              <w:t>，現已證明也將面臨推動困難之困境，事實上，由於外國人移住率過低、招商不易、無法吸引國外資金流入，以及對本國企業限制過多等因素，近年來韓國</w:t>
            </w:r>
            <w:proofErr w:type="gramStart"/>
            <w:r w:rsidRPr="00D912DB">
              <w:t>各界對仁川</w:t>
            </w:r>
            <w:proofErr w:type="gramEnd"/>
            <w:r w:rsidRPr="00D912DB">
              <w:t>自經區的發展狀況，出現了諸多的批判。而面對中國上海</w:t>
            </w:r>
            <w:proofErr w:type="gramStart"/>
            <w:r w:rsidRPr="00D912DB">
              <w:t>自貿區實施</w:t>
            </w:r>
            <w:proofErr w:type="gramEnd"/>
            <w:r w:rsidRPr="00D912DB">
              <w:t>一年來發現，其光環不但嚴重消退，實施成效更是完全不如預期，但台灣卻為了企圖與中國對接，不斷以此推銷台灣自經區的設立優勢，用錯誤的觀念及手段，實難以帶動台灣經濟升級，更無法為台灣</w:t>
            </w:r>
            <w:proofErr w:type="gramStart"/>
            <w:r w:rsidRPr="00D912DB">
              <w:t>悶</w:t>
            </w:r>
            <w:proofErr w:type="gramEnd"/>
            <w:r w:rsidRPr="00D912DB">
              <w:t>經濟注入新的成長動力，且因示範區特別條例尚未審議通過。</w:t>
            </w:r>
            <w:proofErr w:type="gramStart"/>
            <w:r w:rsidRPr="00D912DB">
              <w:t>準</w:t>
            </w:r>
            <w:proofErr w:type="gramEnd"/>
            <w:r w:rsidRPr="00D912DB">
              <w:t>此，除交通部自由港區等海空港建設、國家發展委員會、經濟部、衛生</w:t>
            </w:r>
            <w:proofErr w:type="gramStart"/>
            <w:r w:rsidRPr="00D912DB">
              <w:t>福利部及行政院農業委員會</w:t>
            </w:r>
            <w:proofErr w:type="gramEnd"/>
            <w:r w:rsidRPr="00D912DB">
              <w:t>等既有不涉及落實自由經濟示範區特別條例相關預算得編列執行外，其餘不得編列。</w:t>
            </w:r>
          </w:p>
        </w:tc>
        <w:tc>
          <w:tcPr>
            <w:tcW w:w="4366" w:type="dxa"/>
            <w:shd w:val="clear" w:color="auto" w:fill="auto"/>
          </w:tcPr>
          <w:p w:rsidR="000D2E1D" w:rsidRPr="00FA4C3D" w:rsidRDefault="000851B2" w:rsidP="000851B2">
            <w:pPr>
              <w:kinsoku w:val="0"/>
              <w:overflowPunct w:val="0"/>
              <w:autoSpaceDE w:val="0"/>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lastRenderedPageBreak/>
              <w:t>非本所主政業務。</w:t>
            </w:r>
          </w:p>
        </w:tc>
      </w:tr>
      <w:tr w:rsidR="000D2E1D" w:rsidRPr="00FA4C3D" w:rsidTr="00CF7D70">
        <w:trPr>
          <w:trHeight w:val="502"/>
        </w:trPr>
        <w:tc>
          <w:tcPr>
            <w:tcW w:w="1044" w:type="dxa"/>
            <w:shd w:val="clear" w:color="auto" w:fill="auto"/>
          </w:tcPr>
          <w:p w:rsidR="000D2E1D" w:rsidRPr="00FA4C3D" w:rsidRDefault="000D2E1D"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lastRenderedPageBreak/>
              <w:t>(</w:t>
            </w:r>
            <w:r w:rsidRPr="00FA4C3D">
              <w:rPr>
                <w:rFonts w:ascii="Arial" w:hAnsi="Arial" w:cs="Arial"/>
                <w:color w:val="000000"/>
                <w:kern w:val="0"/>
                <w:sz w:val="20"/>
                <w:szCs w:val="20"/>
              </w:rPr>
              <w:t>五</w:t>
            </w:r>
            <w:r w:rsidRPr="00FA4C3D">
              <w:rPr>
                <w:rFonts w:ascii="Arial" w:hAnsi="Arial" w:cs="Arial"/>
                <w:color w:val="000000"/>
                <w:kern w:val="0"/>
                <w:sz w:val="20"/>
                <w:szCs w:val="20"/>
              </w:rPr>
              <w:t>)</w:t>
            </w:r>
          </w:p>
          <w:p w:rsidR="000D2E1D" w:rsidRPr="00FA4C3D" w:rsidRDefault="000D2E1D" w:rsidP="007004F3">
            <w:pPr>
              <w:spacing w:line="360" w:lineRule="exact"/>
              <w:jc w:val="center"/>
              <w:rPr>
                <w:rFonts w:ascii="Arial" w:hAnsi="Arial" w:cs="Arial"/>
                <w:color w:val="000000"/>
                <w:kern w:val="0"/>
                <w:sz w:val="20"/>
                <w:szCs w:val="20"/>
              </w:rPr>
            </w:pPr>
          </w:p>
        </w:tc>
        <w:tc>
          <w:tcPr>
            <w:tcW w:w="4683" w:type="dxa"/>
            <w:shd w:val="clear" w:color="auto" w:fill="auto"/>
          </w:tcPr>
          <w:p w:rsidR="00A37722" w:rsidRPr="00D912DB" w:rsidRDefault="00A37722" w:rsidP="00A37722">
            <w:pPr>
              <w:pStyle w:val="23"/>
            </w:pPr>
            <w:proofErr w:type="gramStart"/>
            <w:r w:rsidRPr="00D912DB">
              <w:t>鑑</w:t>
            </w:r>
            <w:proofErr w:type="gramEnd"/>
            <w:r w:rsidRPr="00D912DB">
              <w:t>於多數財團法人收入來源主要依賴政府之補助與委辦收入，或以行使公權力特定政策任務為設置目的，且各該薪資</w:t>
            </w:r>
            <w:proofErr w:type="gramStart"/>
            <w:r w:rsidRPr="00D912DB">
              <w:t>待遇均已相當</w:t>
            </w:r>
            <w:proofErr w:type="gramEnd"/>
            <w:r w:rsidRPr="00D912DB">
              <w:t>優渥。因此，相關福</w:t>
            </w:r>
          </w:p>
          <w:p w:rsidR="00A37722" w:rsidRPr="00D912DB" w:rsidRDefault="00A37722" w:rsidP="00A37722">
            <w:pPr>
              <w:pStyle w:val="23"/>
            </w:pPr>
            <w:r w:rsidRPr="00D912DB">
              <w:t>利經費之支用更應</w:t>
            </w:r>
            <w:proofErr w:type="gramStart"/>
            <w:r w:rsidRPr="00D912DB">
              <w:t>撙</w:t>
            </w:r>
            <w:proofErr w:type="gramEnd"/>
            <w:r w:rsidRPr="00D912DB">
              <w:t>節，避免造成外界觀感不佳，或有浪費政府資源之嫌。</w:t>
            </w:r>
            <w:proofErr w:type="gramStart"/>
            <w:r w:rsidRPr="00D912DB">
              <w:t>爰</w:t>
            </w:r>
            <w:proofErr w:type="gramEnd"/>
            <w:r w:rsidRPr="00D912DB">
              <w:t>自</w:t>
            </w:r>
            <w:proofErr w:type="gramStart"/>
            <w:r w:rsidRPr="00D912DB">
              <w:rPr>
                <w:rFonts w:eastAsia="TimesNewRoman"/>
              </w:rPr>
              <w:t>104</w:t>
            </w:r>
            <w:proofErr w:type="gramEnd"/>
            <w:r w:rsidRPr="00D912DB">
              <w:t>年度起，各財團法人除應比照公務人員取消交通補助費外，亦不得</w:t>
            </w:r>
          </w:p>
          <w:p w:rsidR="000D2E1D" w:rsidRPr="00D912DB" w:rsidRDefault="00A37722" w:rsidP="00A37722">
            <w:pPr>
              <w:pStyle w:val="23"/>
            </w:pPr>
            <w:r w:rsidRPr="00D912DB">
              <w:t>再發放高層主管之房屋津貼。</w:t>
            </w:r>
          </w:p>
        </w:tc>
        <w:tc>
          <w:tcPr>
            <w:tcW w:w="4366" w:type="dxa"/>
            <w:shd w:val="clear" w:color="auto" w:fill="auto"/>
          </w:tcPr>
          <w:p w:rsidR="000D2E1D" w:rsidRPr="00FA4C3D" w:rsidRDefault="000851B2"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非本所主政業務。</w:t>
            </w:r>
          </w:p>
        </w:tc>
      </w:tr>
      <w:tr w:rsidR="000D2E1D" w:rsidRPr="00FA4C3D" w:rsidTr="00EA6D93">
        <w:trPr>
          <w:trHeight w:val="824"/>
        </w:trPr>
        <w:tc>
          <w:tcPr>
            <w:tcW w:w="1044" w:type="dxa"/>
            <w:shd w:val="clear" w:color="auto" w:fill="auto"/>
          </w:tcPr>
          <w:p w:rsidR="000D2E1D" w:rsidRPr="00FA4C3D" w:rsidRDefault="000D2E1D"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六</w:t>
            </w:r>
            <w:r w:rsidRPr="00FA4C3D">
              <w:rPr>
                <w:rFonts w:ascii="Arial" w:hAnsi="Arial" w:cs="Arial"/>
                <w:color w:val="000000"/>
                <w:kern w:val="0"/>
                <w:sz w:val="20"/>
                <w:szCs w:val="20"/>
              </w:rPr>
              <w:t>)</w:t>
            </w:r>
          </w:p>
          <w:p w:rsidR="000D2E1D" w:rsidRPr="00FA4C3D" w:rsidRDefault="000D2E1D" w:rsidP="007004F3">
            <w:pPr>
              <w:spacing w:line="360" w:lineRule="exact"/>
              <w:jc w:val="center"/>
              <w:rPr>
                <w:rFonts w:ascii="Arial" w:hAnsi="Arial" w:cs="Arial"/>
                <w:color w:val="000000"/>
                <w:kern w:val="0"/>
                <w:sz w:val="20"/>
                <w:szCs w:val="20"/>
              </w:rPr>
            </w:pPr>
          </w:p>
        </w:tc>
        <w:tc>
          <w:tcPr>
            <w:tcW w:w="4683" w:type="dxa"/>
            <w:shd w:val="clear" w:color="auto" w:fill="auto"/>
          </w:tcPr>
          <w:p w:rsidR="00D912DB" w:rsidRDefault="00A37722" w:rsidP="00A37722">
            <w:pPr>
              <w:pStyle w:val="23"/>
            </w:pPr>
            <w:r w:rsidRPr="00D912DB">
              <w:t>根據審計部</w:t>
            </w:r>
            <w:proofErr w:type="gramStart"/>
            <w:r w:rsidRPr="00D912DB">
              <w:rPr>
                <w:rFonts w:eastAsia="TimesNewRoman"/>
              </w:rPr>
              <w:t>102</w:t>
            </w:r>
            <w:proofErr w:type="gramEnd"/>
            <w:r w:rsidRPr="00D912DB">
              <w:t>年度中央政府總決算審核報告指出，政府捐助之財團法人總計</w:t>
            </w:r>
            <w:r w:rsidRPr="00D912DB">
              <w:rPr>
                <w:rFonts w:eastAsia="TimesNewRoman"/>
              </w:rPr>
              <w:t>152</w:t>
            </w:r>
            <w:r w:rsidRPr="00D912DB">
              <w:t>個，基金總額高達</w:t>
            </w:r>
            <w:r w:rsidRPr="00D912DB">
              <w:rPr>
                <w:rFonts w:eastAsia="TimesNewRoman"/>
              </w:rPr>
              <w:t>2,423</w:t>
            </w:r>
            <w:r w:rsidRPr="00D912DB">
              <w:t>億</w:t>
            </w:r>
            <w:r w:rsidRPr="00D912DB">
              <w:rPr>
                <w:rFonts w:eastAsia="TimesNewRoman"/>
              </w:rPr>
              <w:t>8,298</w:t>
            </w:r>
            <w:r w:rsidRPr="00D912DB">
              <w:t>萬餘元。然諸多財團法人財源自籌能力不足，高度仰賴政府財源</w:t>
            </w:r>
            <w:proofErr w:type="gramStart"/>
            <w:r w:rsidRPr="00D912DB">
              <w:t>挹</w:t>
            </w:r>
            <w:proofErr w:type="gramEnd"/>
            <w:r w:rsidRPr="00D912DB">
              <w:t>注；依決算審核結果，</w:t>
            </w:r>
            <w:r w:rsidRPr="00D912DB">
              <w:rPr>
                <w:rFonts w:eastAsia="TimesNewRoman"/>
              </w:rPr>
              <w:t>152</w:t>
            </w:r>
            <w:r w:rsidRPr="00D912DB">
              <w:t>個財團法人</w:t>
            </w:r>
            <w:proofErr w:type="gramStart"/>
            <w:r w:rsidRPr="00D912DB">
              <w:rPr>
                <w:rFonts w:eastAsia="TimesNewRoman"/>
              </w:rPr>
              <w:t>102</w:t>
            </w:r>
            <w:proofErr w:type="gramEnd"/>
            <w:r w:rsidRPr="00D912DB">
              <w:t>年度營收來自政府捐補</w:t>
            </w:r>
            <w:r w:rsidRPr="00D912DB">
              <w:lastRenderedPageBreak/>
              <w:t>助（不含捐助基金）或委辦之金額高達近</w:t>
            </w:r>
            <w:r w:rsidRPr="00D912DB">
              <w:rPr>
                <w:rFonts w:eastAsia="TimesNewRoman"/>
              </w:rPr>
              <w:t>470</w:t>
            </w:r>
            <w:r w:rsidRPr="00D912DB">
              <w:t>億元，超過年度整體收入之</w:t>
            </w:r>
            <w:r w:rsidRPr="00D912DB">
              <w:rPr>
                <w:rFonts w:eastAsia="TimesNewRoman"/>
              </w:rPr>
              <w:t>50%</w:t>
            </w:r>
            <w:r w:rsidRPr="00D912DB">
              <w:t>。其中有</w:t>
            </w:r>
            <w:r w:rsidRPr="00D912DB">
              <w:rPr>
                <w:rFonts w:eastAsia="TimesNewRoman"/>
              </w:rPr>
              <w:t>60</w:t>
            </w:r>
            <w:r w:rsidRPr="00D912DB">
              <w:t>家政府捐補助及委辦經費占其年度收入比例逾</w:t>
            </w:r>
            <w:r w:rsidRPr="00D912DB">
              <w:rPr>
                <w:rFonts w:eastAsia="TimesNewRoman"/>
              </w:rPr>
              <w:t>50%</w:t>
            </w:r>
            <w:r w:rsidRPr="00D912DB">
              <w:t>，當中有</w:t>
            </w:r>
            <w:r w:rsidRPr="00D912DB">
              <w:rPr>
                <w:rFonts w:eastAsia="TimesNewRoman"/>
              </w:rPr>
              <w:t>42</w:t>
            </w:r>
            <w:r w:rsidRPr="00D912DB">
              <w:t>家超過</w:t>
            </w:r>
            <w:r w:rsidRPr="00D912DB">
              <w:rPr>
                <w:rFonts w:eastAsia="TimesNewRoman"/>
              </w:rPr>
              <w:t>70%</w:t>
            </w:r>
            <w:r w:rsidRPr="00D912DB">
              <w:t>，逾</w:t>
            </w:r>
            <w:r w:rsidRPr="00D912DB">
              <w:rPr>
                <w:rFonts w:eastAsia="TimesNewRoman"/>
              </w:rPr>
              <w:t>90%</w:t>
            </w:r>
            <w:r w:rsidRPr="00D912DB">
              <w:t>者亦不在少數。</w:t>
            </w:r>
          </w:p>
          <w:p w:rsidR="00A37722" w:rsidRPr="00D912DB" w:rsidRDefault="00A37722" w:rsidP="00E82FB5">
            <w:pPr>
              <w:pStyle w:val="23"/>
              <w:ind w:firstLineChars="200" w:firstLine="400"/>
            </w:pPr>
            <w:r w:rsidRPr="00D912DB">
              <w:t>事實上，許多財團法人或已達成設置任務，或因時空環境變遷致設立目的已不復存在，或功能重疊，或已不具實質效益</w:t>
            </w:r>
            <w:r w:rsidRPr="00D912DB">
              <w:t>…</w:t>
            </w:r>
            <w:proofErr w:type="gramStart"/>
            <w:r w:rsidRPr="00D912DB">
              <w:t>…</w:t>
            </w:r>
            <w:proofErr w:type="gramEnd"/>
            <w:r w:rsidRPr="00D912DB">
              <w:t>，本院審查</w:t>
            </w:r>
            <w:proofErr w:type="gramStart"/>
            <w:r w:rsidRPr="00E82FB5">
              <w:t>102</w:t>
            </w:r>
            <w:proofErr w:type="gramEnd"/>
            <w:r w:rsidRPr="00D912DB">
              <w:t>年度中央政府總預算案時決議：「</w:t>
            </w:r>
            <w:r w:rsidRPr="00D912DB">
              <w:t>…</w:t>
            </w:r>
            <w:proofErr w:type="gramStart"/>
            <w:r w:rsidRPr="00D912DB">
              <w:t>…</w:t>
            </w:r>
            <w:proofErr w:type="gramEnd"/>
            <w:r w:rsidRPr="00D912DB">
              <w:t>要求各該主管機關於</w:t>
            </w:r>
            <w:r w:rsidRPr="00E82FB5">
              <w:t>6</w:t>
            </w:r>
            <w:r w:rsidRPr="00D912DB">
              <w:t>個月內針對所捐助財團法人之設置目的、工作計畫、經費運用、財務狀況、營運績效等，以及任務已達成、設立目的已不復存在或已無營運實益等之財團法人，應向立法院提出評估報告及退場計畫。」，惟迄今僅見公設財團法人不斷設置，卻未見有退場或整</w:t>
            </w:r>
            <w:proofErr w:type="gramStart"/>
            <w:r w:rsidRPr="00D912DB">
              <w:t>併</w:t>
            </w:r>
            <w:proofErr w:type="gramEnd"/>
            <w:r w:rsidRPr="00D912DB">
              <w:t>者；長此以往，不僅浪費行政資源，更將形成政府財政負擔。</w:t>
            </w:r>
          </w:p>
          <w:p w:rsidR="000D2E1D" w:rsidRPr="00D912DB" w:rsidRDefault="00A37722" w:rsidP="00F13A9D">
            <w:pPr>
              <w:pStyle w:val="23"/>
              <w:ind w:firstLineChars="200" w:firstLine="400"/>
            </w:pPr>
            <w:proofErr w:type="gramStart"/>
            <w:r w:rsidRPr="00D912DB">
              <w:t>爰</w:t>
            </w:r>
            <w:proofErr w:type="gramEnd"/>
            <w:r w:rsidRPr="00D912DB">
              <w:t>此，</w:t>
            </w:r>
            <w:proofErr w:type="gramStart"/>
            <w:r w:rsidRPr="00E82FB5">
              <w:t>104</w:t>
            </w:r>
            <w:proofErr w:type="gramEnd"/>
            <w:r w:rsidRPr="00D912DB">
              <w:t>年度中央政府各機關（含營業及非營業基金）應就所主管財團法人設置任務已達成、或設立目的已不復存在、或已無營運實益、或績效</w:t>
            </w:r>
            <w:proofErr w:type="gramStart"/>
            <w:r w:rsidRPr="00D912DB">
              <w:t>不</w:t>
            </w:r>
            <w:proofErr w:type="gramEnd"/>
            <w:r w:rsidRPr="00D912DB">
              <w:t>彰、或性質或業務相近者，提出具體之退場或整</w:t>
            </w:r>
            <w:proofErr w:type="gramStart"/>
            <w:r w:rsidRPr="00D912DB">
              <w:t>併</w:t>
            </w:r>
            <w:proofErr w:type="gramEnd"/>
            <w:r w:rsidRPr="00D912DB">
              <w:t>計畫及時程，並向立法院各該委員會報告。</w:t>
            </w:r>
          </w:p>
        </w:tc>
        <w:tc>
          <w:tcPr>
            <w:tcW w:w="4366" w:type="dxa"/>
            <w:shd w:val="clear" w:color="auto" w:fill="auto"/>
          </w:tcPr>
          <w:p w:rsidR="000D2E1D" w:rsidRPr="00FA4C3D" w:rsidRDefault="000851B2"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lastRenderedPageBreak/>
              <w:t>非本所主政業務。</w:t>
            </w:r>
          </w:p>
        </w:tc>
      </w:tr>
      <w:tr w:rsidR="000D2E1D" w:rsidRPr="00FA4C3D" w:rsidTr="0091538D">
        <w:trPr>
          <w:trHeight w:val="771"/>
        </w:trPr>
        <w:tc>
          <w:tcPr>
            <w:tcW w:w="1044" w:type="dxa"/>
            <w:shd w:val="clear" w:color="auto" w:fill="auto"/>
          </w:tcPr>
          <w:p w:rsidR="000D2E1D" w:rsidRPr="00FA4C3D" w:rsidRDefault="000D2E1D"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lastRenderedPageBreak/>
              <w:t>(</w:t>
            </w:r>
            <w:r w:rsidRPr="00FA4C3D">
              <w:rPr>
                <w:rFonts w:ascii="Arial" w:hAnsi="Arial" w:cs="Arial"/>
                <w:color w:val="000000"/>
                <w:kern w:val="0"/>
                <w:sz w:val="20"/>
                <w:szCs w:val="20"/>
              </w:rPr>
              <w:t>七</w:t>
            </w:r>
            <w:r w:rsidRPr="00FA4C3D">
              <w:rPr>
                <w:rFonts w:ascii="Arial" w:hAnsi="Arial" w:cs="Arial"/>
                <w:color w:val="000000"/>
                <w:kern w:val="0"/>
                <w:sz w:val="20"/>
                <w:szCs w:val="20"/>
              </w:rPr>
              <w:t>)</w:t>
            </w:r>
          </w:p>
          <w:p w:rsidR="000D2E1D" w:rsidRPr="00FA4C3D" w:rsidRDefault="000D2E1D" w:rsidP="007004F3">
            <w:pPr>
              <w:spacing w:line="360" w:lineRule="exact"/>
              <w:jc w:val="center"/>
              <w:rPr>
                <w:rFonts w:ascii="Arial" w:hAnsi="Arial" w:cs="Arial"/>
                <w:color w:val="000000"/>
                <w:kern w:val="0"/>
                <w:sz w:val="20"/>
                <w:szCs w:val="20"/>
              </w:rPr>
            </w:pPr>
          </w:p>
        </w:tc>
        <w:tc>
          <w:tcPr>
            <w:tcW w:w="4683" w:type="dxa"/>
            <w:shd w:val="clear" w:color="auto" w:fill="auto"/>
          </w:tcPr>
          <w:p w:rsidR="00A37722" w:rsidRPr="00D912DB" w:rsidRDefault="00A37722" w:rsidP="00A37722">
            <w:pPr>
              <w:pStyle w:val="23"/>
            </w:pPr>
            <w:r w:rsidRPr="00D912DB">
              <w:t>公教人員保險法中訂有「眷屬喪葬津貼（最高</w:t>
            </w:r>
            <w:r w:rsidRPr="00D912DB">
              <w:rPr>
                <w:rFonts w:eastAsia="TimesNewRoman"/>
              </w:rPr>
              <w:t>3</w:t>
            </w:r>
            <w:r w:rsidRPr="00D912DB">
              <w:t>個月薪俸額）」，而全國軍公教員工待遇支給要點中，亦列有眷屬死亡之「喪葬補助（最高</w:t>
            </w:r>
            <w:r w:rsidRPr="00D912DB">
              <w:rPr>
                <w:rFonts w:eastAsia="TimesNewRoman"/>
              </w:rPr>
              <w:t>5</w:t>
            </w:r>
            <w:r w:rsidRPr="00D912DB">
              <w:t>個月薪俸額）」之生活津貼，惟該「生活津貼」之規定，並未有法源依據。</w:t>
            </w:r>
          </w:p>
          <w:p w:rsidR="000D2E1D" w:rsidRPr="00D912DB" w:rsidRDefault="00A37722" w:rsidP="00F13A9D">
            <w:pPr>
              <w:pStyle w:val="23"/>
              <w:ind w:firstLineChars="200" w:firstLine="400"/>
            </w:pPr>
            <w:r w:rsidRPr="00D912DB">
              <w:t>公教人員保險既已有眷屬喪葬給付，實已不須再另行由政府預算編列所謂「喪葬補助」，且補助標準還過於保險給付。其他社會保險，如「勞工保險」，亦係將眷屬死亡之喪葬津貼列入保險給付項目，而未有其他政府補助。基於該「喪葬補助」生活津貼係無償性之補助，與保險給付係立基於「保費」之交付而生之補償不同，不應以「月俸」作為補助標準，</w:t>
            </w:r>
            <w:proofErr w:type="gramStart"/>
            <w:r w:rsidRPr="00D912DB">
              <w:t>況</w:t>
            </w:r>
            <w:proofErr w:type="gramEnd"/>
            <w:r w:rsidRPr="00D912DB">
              <w:t>月俸愈高者，反而獲得政府愈多之補助，亦有</w:t>
            </w:r>
            <w:proofErr w:type="gramStart"/>
            <w:r w:rsidRPr="00D912DB">
              <w:t>違</w:t>
            </w:r>
            <w:proofErr w:type="gramEnd"/>
            <w:r w:rsidRPr="00D912DB">
              <w:t>常理；現行軍公教人員喪葬補助以事實</w:t>
            </w:r>
            <w:r w:rsidRPr="00D912DB">
              <w:lastRenderedPageBreak/>
              <w:t>發生當月之薪俸額做為補助基準尚有斟酌空間，建請行政院於</w:t>
            </w:r>
            <w:r w:rsidRPr="00D912DB">
              <w:rPr>
                <w:rFonts w:eastAsia="TimesNewRoman"/>
              </w:rPr>
              <w:t>6</w:t>
            </w:r>
            <w:r w:rsidRPr="00D912DB">
              <w:t>個月內檢討</w:t>
            </w:r>
            <w:proofErr w:type="gramStart"/>
            <w:r w:rsidRPr="00D912DB">
              <w:t>研議其</w:t>
            </w:r>
            <w:proofErr w:type="gramEnd"/>
            <w:r w:rsidRPr="00D912DB">
              <w:t>合理性。</w:t>
            </w:r>
          </w:p>
        </w:tc>
        <w:tc>
          <w:tcPr>
            <w:tcW w:w="4366" w:type="dxa"/>
            <w:shd w:val="clear" w:color="auto" w:fill="auto"/>
          </w:tcPr>
          <w:p w:rsidR="000D2E1D" w:rsidRPr="00FA4C3D" w:rsidRDefault="008B7D89"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lastRenderedPageBreak/>
              <w:t>非本所主政業務。</w:t>
            </w:r>
          </w:p>
        </w:tc>
      </w:tr>
      <w:tr w:rsidR="000D2E1D" w:rsidRPr="00FA4C3D" w:rsidTr="00C03D8B">
        <w:trPr>
          <w:trHeight w:val="1494"/>
        </w:trPr>
        <w:tc>
          <w:tcPr>
            <w:tcW w:w="1044" w:type="dxa"/>
            <w:shd w:val="clear" w:color="auto" w:fill="auto"/>
          </w:tcPr>
          <w:p w:rsidR="000D2E1D" w:rsidRPr="00FA4C3D" w:rsidRDefault="000D2E1D"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lastRenderedPageBreak/>
              <w:t>(</w:t>
            </w:r>
            <w:r w:rsidRPr="00FA4C3D">
              <w:rPr>
                <w:rFonts w:ascii="Arial" w:hAnsi="Arial" w:cs="Arial"/>
                <w:color w:val="000000"/>
                <w:kern w:val="0"/>
                <w:sz w:val="20"/>
                <w:szCs w:val="20"/>
              </w:rPr>
              <w:t>八</w:t>
            </w:r>
            <w:r w:rsidRPr="00FA4C3D">
              <w:rPr>
                <w:rFonts w:ascii="Arial" w:hAnsi="Arial" w:cs="Arial"/>
                <w:color w:val="000000"/>
                <w:kern w:val="0"/>
                <w:sz w:val="20"/>
                <w:szCs w:val="20"/>
              </w:rPr>
              <w:t>)</w:t>
            </w:r>
          </w:p>
          <w:p w:rsidR="000D2E1D" w:rsidRPr="00FA4C3D" w:rsidRDefault="000D2E1D" w:rsidP="007004F3">
            <w:pPr>
              <w:spacing w:line="360" w:lineRule="exact"/>
              <w:jc w:val="center"/>
              <w:rPr>
                <w:rFonts w:ascii="Arial" w:hAnsi="Arial" w:cs="Arial"/>
                <w:color w:val="000000"/>
                <w:kern w:val="0"/>
                <w:sz w:val="20"/>
                <w:szCs w:val="20"/>
              </w:rPr>
            </w:pPr>
          </w:p>
        </w:tc>
        <w:tc>
          <w:tcPr>
            <w:tcW w:w="4683" w:type="dxa"/>
            <w:shd w:val="clear" w:color="auto" w:fill="auto"/>
          </w:tcPr>
          <w:p w:rsidR="00C55D03" w:rsidRPr="00D912DB" w:rsidRDefault="00A37722" w:rsidP="00A37722">
            <w:pPr>
              <w:pStyle w:val="23"/>
            </w:pPr>
            <w:r w:rsidRPr="00D912DB">
              <w:t>根據行政院主計總處訂定之「用途別預算科目分類定義及計列標準表」第一點規定「各機關應詳實按照所管費用性質，就用途別預算科目定義範圍，確定各項費用應歸屬之科目」。</w:t>
            </w:r>
            <w:proofErr w:type="gramStart"/>
            <w:r w:rsidRPr="00D912DB">
              <w:t>惟查部分</w:t>
            </w:r>
            <w:proofErr w:type="gramEnd"/>
            <w:r w:rsidRPr="00D912DB">
              <w:t>機關或對定義範圍未盡</w:t>
            </w:r>
            <w:proofErr w:type="gramStart"/>
            <w:r w:rsidRPr="00D912DB">
              <w:t>清楚，</w:t>
            </w:r>
            <w:proofErr w:type="gramEnd"/>
            <w:r w:rsidRPr="00D912DB">
              <w:t>或有明知卻仍未照規定歸類之蓄意，例如，明知須列為委辦費，卻以委辦費</w:t>
            </w:r>
            <w:proofErr w:type="gramStart"/>
            <w:r w:rsidRPr="00D912DB">
              <w:t>每年均會被</w:t>
            </w:r>
            <w:proofErr w:type="gramEnd"/>
            <w:r w:rsidRPr="00D912DB">
              <w:t>立法院統</w:t>
            </w:r>
            <w:proofErr w:type="gramStart"/>
            <w:r w:rsidRPr="00D912DB">
              <w:t>刪</w:t>
            </w:r>
            <w:proofErr w:type="gramEnd"/>
            <w:r w:rsidRPr="00D912DB">
              <w:t>為由，將相關經費改列為「一般事務費」；或明知實際用途為補助，須於預算書中表列，並於機關網站上揭露，卻以「分攤」經費為由改列為「一般事務費」，逃避監督。</w:t>
            </w:r>
            <w:proofErr w:type="gramStart"/>
            <w:r w:rsidRPr="00D912DB">
              <w:t>爰</w:t>
            </w:r>
            <w:proofErr w:type="gramEnd"/>
            <w:r w:rsidRPr="00D912DB">
              <w:t>要求行政院應通令各機關單位確實依照所訂標準編製預算，主計單位並應盡預算編審之責，確實審核；日後經查出有未依規定編製預算者，機關單位首長、相關人員應予懲處。</w:t>
            </w:r>
          </w:p>
        </w:tc>
        <w:tc>
          <w:tcPr>
            <w:tcW w:w="4366" w:type="dxa"/>
            <w:shd w:val="clear" w:color="auto" w:fill="auto"/>
          </w:tcPr>
          <w:p w:rsidR="000E6106" w:rsidRPr="00FA4C3D" w:rsidRDefault="008B7D89" w:rsidP="008B7D89">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遵照決議事項辦理。</w:t>
            </w:r>
          </w:p>
        </w:tc>
      </w:tr>
      <w:tr w:rsidR="00462852" w:rsidRPr="00FA4C3D" w:rsidTr="00AD735F">
        <w:trPr>
          <w:trHeight w:val="467"/>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九</w:t>
            </w:r>
            <w:r w:rsidRPr="00FA4C3D">
              <w:rPr>
                <w:rFonts w:ascii="Arial" w:hAnsi="Arial" w:cs="Arial"/>
                <w:color w:val="000000"/>
                <w:kern w:val="0"/>
                <w:sz w:val="20"/>
                <w:szCs w:val="20"/>
              </w:rPr>
              <w:t>)</w:t>
            </w:r>
          </w:p>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Default="00462852" w:rsidP="00A37722">
            <w:pPr>
              <w:pStyle w:val="23"/>
            </w:pPr>
            <w:r w:rsidRPr="00D912DB">
              <w:t>由於各界對於政府部門帶頭使用派遣人力多所撻伐，行政院於</w:t>
            </w:r>
            <w:r w:rsidRPr="00D912DB">
              <w:rPr>
                <w:rFonts w:eastAsia="TimesNewRoman"/>
              </w:rPr>
              <w:t>99</w:t>
            </w:r>
            <w:r w:rsidRPr="00D912DB">
              <w:t>年即鼓勵行政部門辦理勞務採購時，應優先評估以勞務承攬方式辦理；但從行政院各部會及所屬進用之承攬人力的工作內容觀之，多數工作要派機構仍須直接行使指揮監督權，而各部會卻為配合行政院降低派遣勞工人數之要求，特意忽略派遣與承攬之差別，導致派遣人力人數雖然降低，但勞務承攬卻不斷增加之怪象。</w:t>
            </w:r>
          </w:p>
          <w:p w:rsidR="00462852" w:rsidRPr="00D912DB" w:rsidRDefault="00462852" w:rsidP="00E82FB5">
            <w:pPr>
              <w:pStyle w:val="23"/>
              <w:ind w:firstLineChars="200" w:firstLine="400"/>
            </w:pPr>
            <w:r w:rsidRPr="00D912DB">
              <w:t>經查，依民法規定：承攬謂當事人約定，一方為他方完成一定之工作，他方</w:t>
            </w:r>
            <w:proofErr w:type="gramStart"/>
            <w:r w:rsidRPr="00D912DB">
              <w:t>俟</w:t>
            </w:r>
            <w:proofErr w:type="gramEnd"/>
            <w:r w:rsidRPr="00D912DB">
              <w:t>工作完成，給付報酬之契約，在承攬業者依承攬契約而指派所屬勞工（擔任履行輔助人）至</w:t>
            </w:r>
            <w:proofErr w:type="gramStart"/>
            <w:r w:rsidRPr="00D912DB">
              <w:t>定作</w:t>
            </w:r>
            <w:proofErr w:type="gramEnd"/>
            <w:r w:rsidRPr="00D912DB">
              <w:t>人處提供勞務之場合；勞動承攬外觀上似乎與勞動派遣相近，但二者間主要差異在於：承攬業者並未將指揮監督權讓與</w:t>
            </w:r>
            <w:proofErr w:type="gramStart"/>
            <w:r w:rsidRPr="00D912DB">
              <w:t>定作</w:t>
            </w:r>
            <w:proofErr w:type="gramEnd"/>
            <w:r w:rsidRPr="00D912DB">
              <w:t>人，而勞動派遣部分，要派機構則可直接指揮監督使用派遣勞工。</w:t>
            </w:r>
          </w:p>
          <w:p w:rsidR="00462852" w:rsidRPr="00D912DB" w:rsidRDefault="00462852" w:rsidP="00E82FB5">
            <w:pPr>
              <w:pStyle w:val="23"/>
              <w:ind w:firstLineChars="200" w:firstLine="400"/>
            </w:pPr>
            <w:r w:rsidRPr="00D912DB">
              <w:t>勞動部為</w:t>
            </w:r>
            <w:proofErr w:type="gramStart"/>
            <w:r w:rsidRPr="00D912DB">
              <w:t>勞</w:t>
            </w:r>
            <w:proofErr w:type="gramEnd"/>
            <w:r w:rsidRPr="00D912DB">
              <w:t>政最高主管機關，未明確定義派遣</w:t>
            </w:r>
            <w:r w:rsidRPr="00D912DB">
              <w:lastRenderedPageBreak/>
              <w:t>及承攬造成各界多有誤解，已屬失職；而行政院對勞務承攬不斷增加之怪象，非但視而不見，</w:t>
            </w:r>
            <w:proofErr w:type="gramStart"/>
            <w:r w:rsidRPr="00D912DB">
              <w:t>且昧於</w:t>
            </w:r>
            <w:proofErr w:type="gramEnd"/>
            <w:r w:rsidRPr="00D912DB">
              <w:t>事實，放任各部會將應運用勞動派遣人力之事項，任意以勞動勞務承攬為之，尤屬不該。</w:t>
            </w:r>
            <w:proofErr w:type="gramStart"/>
            <w:r w:rsidRPr="00D912DB">
              <w:t>爰</w:t>
            </w:r>
            <w:proofErr w:type="gramEnd"/>
            <w:r w:rsidRPr="00D912DB">
              <w:t>要求行政院應：</w:t>
            </w:r>
          </w:p>
          <w:p w:rsidR="00462852" w:rsidRPr="00D912DB" w:rsidRDefault="00462852" w:rsidP="004A748C">
            <w:pPr>
              <w:pStyle w:val="23"/>
              <w:numPr>
                <w:ilvl w:val="0"/>
                <w:numId w:val="3"/>
              </w:numPr>
            </w:pPr>
            <w:r w:rsidRPr="00D912DB">
              <w:t>責成勞動部明確定義勞動派遣與勞務承攬，並提出相關檢討報告及改善計畫與具體實施期程。</w:t>
            </w:r>
          </w:p>
          <w:p w:rsidR="00462852" w:rsidRPr="00D912DB" w:rsidRDefault="00462852" w:rsidP="004A748C">
            <w:pPr>
              <w:pStyle w:val="23"/>
              <w:numPr>
                <w:ilvl w:val="0"/>
                <w:numId w:val="3"/>
              </w:numPr>
            </w:pPr>
            <w:r w:rsidRPr="00D912DB">
              <w:t>責成勞動部會同人事行政總處，訂定「行政院運用勞動派遣及勞務承攬之應行注意事項」。</w:t>
            </w:r>
          </w:p>
          <w:p w:rsidR="00462852" w:rsidRPr="00D912DB" w:rsidRDefault="00462852" w:rsidP="004A748C">
            <w:pPr>
              <w:pStyle w:val="23"/>
              <w:numPr>
                <w:ilvl w:val="0"/>
                <w:numId w:val="3"/>
              </w:numPr>
            </w:pPr>
            <w:r w:rsidRPr="00D912DB">
              <w:t>於</w:t>
            </w:r>
            <w:proofErr w:type="gramStart"/>
            <w:r w:rsidRPr="00D912DB">
              <w:rPr>
                <w:rFonts w:eastAsia="TimesNewRoman"/>
              </w:rPr>
              <w:t>104</w:t>
            </w:r>
            <w:proofErr w:type="gramEnd"/>
            <w:r w:rsidRPr="00D912DB">
              <w:t>年度起逐步要求各部會通盤檢討勞務採購時勞動派遣及勞務承攬人力運用之需求。</w:t>
            </w:r>
          </w:p>
          <w:p w:rsidR="00462852" w:rsidRPr="00D912DB" w:rsidRDefault="00462852" w:rsidP="004A748C">
            <w:pPr>
              <w:pStyle w:val="23"/>
              <w:numPr>
                <w:ilvl w:val="0"/>
                <w:numId w:val="3"/>
              </w:numPr>
            </w:pPr>
            <w:r w:rsidRPr="00D912DB">
              <w:t>依勞動部之定義，於</w:t>
            </w:r>
            <w:proofErr w:type="gramStart"/>
            <w:r w:rsidRPr="00D912DB">
              <w:rPr>
                <w:rFonts w:eastAsia="TimesNewRoman"/>
              </w:rPr>
              <w:t>105</w:t>
            </w:r>
            <w:proofErr w:type="gramEnd"/>
            <w:r w:rsidRPr="00D912DB">
              <w:t>年度起中央政府總預算書內明列勞動派遣及勞務承攬人力實際運用情況。</w:t>
            </w:r>
          </w:p>
        </w:tc>
        <w:tc>
          <w:tcPr>
            <w:tcW w:w="4366" w:type="dxa"/>
            <w:shd w:val="clear" w:color="auto" w:fill="auto"/>
          </w:tcPr>
          <w:p w:rsidR="00462852" w:rsidRPr="00FA4C3D" w:rsidRDefault="00462852" w:rsidP="00CC3BD0">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lastRenderedPageBreak/>
              <w:t>非本所主政業務。</w:t>
            </w:r>
          </w:p>
        </w:tc>
      </w:tr>
      <w:tr w:rsidR="00462852" w:rsidRPr="00FA4C3D" w:rsidTr="005C6D54">
        <w:trPr>
          <w:trHeight w:val="1196"/>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lastRenderedPageBreak/>
              <w:t>(</w:t>
            </w:r>
            <w:r w:rsidRPr="00FA4C3D">
              <w:rPr>
                <w:rFonts w:ascii="Arial" w:hAnsi="Arial" w:cs="Arial"/>
                <w:color w:val="000000"/>
                <w:kern w:val="0"/>
                <w:sz w:val="20"/>
                <w:szCs w:val="20"/>
              </w:rPr>
              <w:t>十</w:t>
            </w:r>
            <w:r w:rsidRPr="00FA4C3D">
              <w:rPr>
                <w:rFonts w:ascii="Arial" w:hAnsi="Arial" w:cs="Arial"/>
                <w:color w:val="000000"/>
                <w:kern w:val="0"/>
                <w:sz w:val="20"/>
                <w:szCs w:val="20"/>
              </w:rPr>
              <w:t>)</w:t>
            </w:r>
          </w:p>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D912DB" w:rsidRDefault="00462852" w:rsidP="00A37722">
            <w:pPr>
              <w:pStyle w:val="23"/>
            </w:pPr>
            <w:r w:rsidRPr="00D912DB">
              <w:t>依據職業安全衛生法第</w:t>
            </w:r>
            <w:r w:rsidRPr="00D912DB">
              <w:rPr>
                <w:rFonts w:eastAsia="TimesNewRoman"/>
              </w:rPr>
              <w:t>6</w:t>
            </w:r>
            <w:r w:rsidRPr="00D912DB">
              <w:t>條第</w:t>
            </w:r>
            <w:r w:rsidRPr="00D912DB">
              <w:rPr>
                <w:rFonts w:eastAsia="TimesNewRoman"/>
              </w:rPr>
              <w:t>1</w:t>
            </w:r>
            <w:r w:rsidRPr="00D912DB">
              <w:t>項第</w:t>
            </w:r>
            <w:r w:rsidRPr="00D912DB">
              <w:rPr>
                <w:rFonts w:eastAsia="TimesNewRoman"/>
              </w:rPr>
              <w:t>14</w:t>
            </w:r>
            <w:r w:rsidRPr="00D912DB">
              <w:t>款明文規定，雇主應針對防止為採取充足通風、採光、照明、保溫或</w:t>
            </w:r>
            <w:proofErr w:type="gramStart"/>
            <w:r w:rsidRPr="00D912DB">
              <w:t>防濕等引起</w:t>
            </w:r>
            <w:proofErr w:type="gramEnd"/>
            <w:r w:rsidRPr="00D912DB">
              <w:t>之危害，提供勞工必要的安全衛生設備及措施。同法第</w:t>
            </w:r>
            <w:r w:rsidRPr="00D912DB">
              <w:rPr>
                <w:rFonts w:eastAsia="TimesNewRoman"/>
              </w:rPr>
              <w:t>26</w:t>
            </w:r>
            <w:r w:rsidRPr="00D912DB">
              <w:t>條亦規定，事業單位以其事業之全部或一部分交付承攬時，應於事先告知該承攬人有關事業工作環境、危害</w:t>
            </w:r>
            <w:proofErr w:type="gramStart"/>
            <w:r w:rsidRPr="00D912DB">
              <w:t>因素既本法</w:t>
            </w:r>
            <w:proofErr w:type="gramEnd"/>
            <w:r w:rsidRPr="00D912DB">
              <w:t>及有關安全衛生規定應採取之措施。</w:t>
            </w:r>
          </w:p>
          <w:p w:rsidR="00462852" w:rsidRPr="00D912DB" w:rsidRDefault="00462852" w:rsidP="000117DB">
            <w:pPr>
              <w:pStyle w:val="23"/>
              <w:ind w:firstLineChars="200" w:firstLine="400"/>
            </w:pPr>
            <w:r w:rsidRPr="00D912DB">
              <w:t>查承攬立法院院區清潔廠商第一社會福利基金會卻只提供員工短袖制服，即便寒流低溫特報，員工在戶外低氣溫環境工作只能自行添加薄長袖衣物於短袖衣服內，與其他在院區內行走</w:t>
            </w:r>
            <w:proofErr w:type="gramStart"/>
            <w:r w:rsidRPr="00D912DB">
              <w:t>身著</w:t>
            </w:r>
            <w:proofErr w:type="gramEnd"/>
            <w:r w:rsidRPr="00D912DB">
              <w:t>保暖外套其他人員相較保暖性不足。顯然，立法院與基金會要求員工於低氣溫戶外工作，基金會未提供任何禦寒保護措施，立法院也未善盡告知督促之責任。</w:t>
            </w:r>
          </w:p>
          <w:p w:rsidR="00462852" w:rsidRPr="00D912DB" w:rsidRDefault="00462852" w:rsidP="000117DB">
            <w:pPr>
              <w:pStyle w:val="23"/>
              <w:ind w:firstLineChars="200" w:firstLine="400"/>
            </w:pPr>
            <w:r w:rsidRPr="00D912DB">
              <w:t>次查政府採購網統計資訊，第一社會福利基金會亦承攬多家公家機關清潔勞務採購案，包含監察院、科技部、高速公路局北區工程處、衛生福利部國民</w:t>
            </w:r>
            <w:proofErr w:type="gramStart"/>
            <w:r w:rsidRPr="00D912DB">
              <w:t>健康署</w:t>
            </w:r>
            <w:proofErr w:type="gramEnd"/>
            <w:r w:rsidRPr="00D912DB">
              <w:t>等等中央政府機關單位。</w:t>
            </w:r>
          </w:p>
          <w:p w:rsidR="00462852" w:rsidRPr="00D912DB" w:rsidRDefault="00462852" w:rsidP="000117DB">
            <w:pPr>
              <w:pStyle w:val="23"/>
              <w:ind w:firstLineChars="200" w:firstLine="400"/>
            </w:pPr>
            <w:r w:rsidRPr="00D912DB">
              <w:t>為避免基層勞工因工作遭逢職業傷病，政府機關應依職業安全衛生法，善盡事業單位督促承攬商</w:t>
            </w:r>
            <w:r w:rsidRPr="00D912DB">
              <w:lastRenderedPageBreak/>
              <w:t>符合相關法令之責任，</w:t>
            </w:r>
            <w:proofErr w:type="gramStart"/>
            <w:r w:rsidRPr="00D912DB">
              <w:t>爰</w:t>
            </w:r>
            <w:proofErr w:type="gramEnd"/>
            <w:r w:rsidRPr="00D912DB">
              <w:t>要求各政府機關應優先督促清潔勞務承攬商針對戶外工作之員工提供防風保暖之制服。</w:t>
            </w:r>
          </w:p>
        </w:tc>
        <w:tc>
          <w:tcPr>
            <w:tcW w:w="4366" w:type="dxa"/>
            <w:shd w:val="clear" w:color="auto" w:fill="auto"/>
          </w:tcPr>
          <w:p w:rsidR="00462852" w:rsidRPr="00FA4C3D" w:rsidRDefault="00462852"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lastRenderedPageBreak/>
              <w:t>遵照決議事項辦理。</w:t>
            </w:r>
          </w:p>
        </w:tc>
      </w:tr>
      <w:tr w:rsidR="00462852" w:rsidRPr="00FA4C3D" w:rsidTr="00EA6D93">
        <w:trPr>
          <w:trHeight w:val="218"/>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lastRenderedPageBreak/>
              <w:t>(</w:t>
            </w:r>
            <w:r w:rsidRPr="00FA4C3D">
              <w:rPr>
                <w:rFonts w:ascii="Arial" w:hAnsi="Arial" w:cs="Arial"/>
                <w:color w:val="000000"/>
                <w:kern w:val="0"/>
                <w:sz w:val="20"/>
                <w:szCs w:val="20"/>
              </w:rPr>
              <w:t>十一</w:t>
            </w:r>
            <w:r w:rsidRPr="00FA4C3D">
              <w:rPr>
                <w:rFonts w:ascii="Arial" w:hAnsi="Arial" w:cs="Arial"/>
                <w:color w:val="000000"/>
                <w:kern w:val="0"/>
                <w:sz w:val="20"/>
                <w:szCs w:val="20"/>
              </w:rPr>
              <w:t>)</w:t>
            </w:r>
          </w:p>
        </w:tc>
        <w:tc>
          <w:tcPr>
            <w:tcW w:w="4683" w:type="dxa"/>
            <w:shd w:val="clear" w:color="auto" w:fill="auto"/>
          </w:tcPr>
          <w:p w:rsidR="00462852" w:rsidRPr="00D912DB" w:rsidRDefault="00462852" w:rsidP="00AD735F">
            <w:pPr>
              <w:pStyle w:val="23"/>
            </w:pPr>
            <w:r w:rsidRPr="00D912DB">
              <w:t>行政院消費者保護委員會自</w:t>
            </w:r>
            <w:r w:rsidRPr="00D912DB">
              <w:rPr>
                <w:rFonts w:eastAsia="TimesNewRoman"/>
              </w:rPr>
              <w:t>101</w:t>
            </w:r>
            <w:r w:rsidRPr="00D912DB">
              <w:t>年被前行政院長江宜樺降級為行政院消費者保護處後，功能</w:t>
            </w:r>
            <w:proofErr w:type="gramStart"/>
            <w:r w:rsidRPr="00D912DB">
              <w:t>不</w:t>
            </w:r>
            <w:proofErr w:type="gramEnd"/>
            <w:r w:rsidRPr="00D912DB">
              <w:t>彰，未能確實保護消費者，在歷次食安風暴中，也未能發揮領頭羊角色保護消費者權益、提出團體訴訟，顯見當初</w:t>
            </w:r>
            <w:proofErr w:type="gramStart"/>
            <w:r w:rsidRPr="00D912DB">
              <w:t>行政院組改決策</w:t>
            </w:r>
            <w:proofErr w:type="gramEnd"/>
            <w:r w:rsidRPr="00D912DB">
              <w:t>之不當。尤其現行產業類別多元、消費項目與爭議更是日新月異，消費者保護法裡的定型化契約範本早已不符時代所需，許多民眾根本不知道消費者保護法能申訴及調解消費爭議，遠不如媒體</w:t>
            </w:r>
            <w:proofErr w:type="gramStart"/>
            <w:r w:rsidRPr="00D912DB">
              <w:t>的爆料專線</w:t>
            </w:r>
            <w:proofErr w:type="gramEnd"/>
            <w:r w:rsidRPr="00D912DB">
              <w:t>。</w:t>
            </w:r>
            <w:proofErr w:type="gramStart"/>
            <w:r w:rsidRPr="00D912DB">
              <w:t>爰</w:t>
            </w:r>
            <w:proofErr w:type="gramEnd"/>
            <w:r w:rsidRPr="00D912DB">
              <w:t>要求行政院應強化消費者保護處職能，並與食安辦公室定期溝通協調，定期就特定產品稽查，以維護消費者權益。</w:t>
            </w:r>
          </w:p>
        </w:tc>
        <w:tc>
          <w:tcPr>
            <w:tcW w:w="4366" w:type="dxa"/>
            <w:shd w:val="clear" w:color="auto" w:fill="auto"/>
          </w:tcPr>
          <w:p w:rsidR="00462852" w:rsidRPr="00FA4C3D" w:rsidRDefault="00462852" w:rsidP="008C3609">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非本所主政業務。</w:t>
            </w:r>
          </w:p>
        </w:tc>
      </w:tr>
      <w:tr w:rsidR="00462852" w:rsidRPr="00FA4C3D" w:rsidTr="00E67E55">
        <w:trPr>
          <w:trHeight w:val="785"/>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十二</w:t>
            </w:r>
            <w:r w:rsidRPr="00FA4C3D">
              <w:rPr>
                <w:rFonts w:ascii="Arial" w:hAnsi="Arial" w:cs="Arial"/>
                <w:color w:val="000000"/>
                <w:kern w:val="0"/>
                <w:sz w:val="20"/>
                <w:szCs w:val="20"/>
              </w:rPr>
              <w:t>)</w:t>
            </w:r>
          </w:p>
        </w:tc>
        <w:tc>
          <w:tcPr>
            <w:tcW w:w="4683" w:type="dxa"/>
            <w:shd w:val="clear" w:color="auto" w:fill="auto"/>
          </w:tcPr>
          <w:p w:rsidR="00462852" w:rsidRPr="00D912DB" w:rsidRDefault="00462852" w:rsidP="00D912DB">
            <w:pPr>
              <w:pStyle w:val="23"/>
            </w:pPr>
            <w:r w:rsidRPr="00D912DB">
              <w:t>行政院各部會每年皆編列龐大數額之捐、補助費，有的部會之捐、補助費幾乎占其整體預算九成。其中有為數不少的捐、補助費，係對團體及私人補助，惟如此龐大金額之預算，許多部會及所屬卻未於官方網站設有專區，致民眾及團體無法簡便查詢到所需之申請捐、補助費規定，而經常錯失申請時機，甚或因不知有相關捐、補助費，致使本身權益受損。為便利人民共享及公平利用政府資訊，保障民眾知的權利，</w:t>
            </w:r>
            <w:proofErr w:type="gramStart"/>
            <w:r w:rsidRPr="00D912DB">
              <w:t>爰</w:t>
            </w:r>
            <w:proofErr w:type="gramEnd"/>
            <w:r w:rsidRPr="00D912DB">
              <w:t>要求行政院及所屬應要求各部會應將「申請捐、補助費用之相關辦法」列入網頁「政府資訊公開」專區內，以利民眾查閱。</w:t>
            </w:r>
          </w:p>
        </w:tc>
        <w:tc>
          <w:tcPr>
            <w:tcW w:w="4366" w:type="dxa"/>
            <w:shd w:val="clear" w:color="auto" w:fill="auto"/>
          </w:tcPr>
          <w:p w:rsidR="00462852" w:rsidRPr="00FA4C3D" w:rsidRDefault="00462852" w:rsidP="005A12DC">
            <w:pPr>
              <w:spacing w:line="360" w:lineRule="exact"/>
              <w:ind w:leftChars="21" w:left="50"/>
              <w:jc w:val="both"/>
              <w:rPr>
                <w:rFonts w:ascii="Arial" w:hAnsi="Arial" w:cs="Arial"/>
                <w:color w:val="000000"/>
                <w:kern w:val="0"/>
                <w:sz w:val="20"/>
                <w:szCs w:val="20"/>
              </w:rPr>
            </w:pPr>
            <w:r>
              <w:rPr>
                <w:rFonts w:ascii="Arial" w:hAnsi="Arial" w:cs="Arial" w:hint="eastAsia"/>
                <w:color w:val="000000"/>
                <w:kern w:val="0"/>
                <w:sz w:val="20"/>
                <w:szCs w:val="20"/>
              </w:rPr>
              <w:t>遵照決議事項辦理。</w:t>
            </w:r>
          </w:p>
        </w:tc>
      </w:tr>
      <w:tr w:rsidR="00462852" w:rsidRPr="00FA4C3D" w:rsidTr="005C6D54">
        <w:trPr>
          <w:trHeight w:val="1196"/>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十三</w:t>
            </w:r>
            <w:r w:rsidRPr="00FA4C3D">
              <w:rPr>
                <w:rFonts w:ascii="Arial" w:hAnsi="Arial" w:cs="Arial"/>
                <w:color w:val="000000"/>
                <w:kern w:val="0"/>
                <w:sz w:val="20"/>
                <w:szCs w:val="20"/>
              </w:rPr>
              <w:t>)</w:t>
            </w:r>
          </w:p>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D912DB" w:rsidRDefault="00462852" w:rsidP="00AD735F">
            <w:pPr>
              <w:pStyle w:val="23"/>
            </w:pPr>
            <w:r w:rsidRPr="00D912DB">
              <w:t>行政院於</w:t>
            </w:r>
            <w:r w:rsidRPr="00D912DB">
              <w:rPr>
                <w:rFonts w:eastAsia="TimesNewRoman"/>
              </w:rPr>
              <w:t>93</w:t>
            </w:r>
            <w:r w:rsidRPr="00D912DB">
              <w:t>年為建立公報制度，統一刊載行政院及所屬各機關涉及人民權益之法令等重要事項，以達政府資訊主動公開及保障人民權益之目的，特發行「行政院公報」，並建置「行政院公報資訊網」。</w:t>
            </w:r>
            <w:proofErr w:type="gramStart"/>
            <w:r w:rsidRPr="00D912DB">
              <w:t>惟查該</w:t>
            </w:r>
            <w:proofErr w:type="gramEnd"/>
            <w:r w:rsidRPr="00D912DB">
              <w:t>網站部分法規命令、行政規則等修正發布之資訊，並未檢附條文總說明及對照表，人民難以得知政府機關修正之理由與必要性。</w:t>
            </w:r>
            <w:proofErr w:type="gramStart"/>
            <w:r w:rsidRPr="00D912DB">
              <w:t>爰</w:t>
            </w:r>
            <w:proofErr w:type="gramEnd"/>
            <w:r w:rsidRPr="00D912DB">
              <w:t>要求行政院公報未來刊載法規，應一併檢附條文總說明及對照</w:t>
            </w:r>
            <w:r w:rsidRPr="00D912DB">
              <w:lastRenderedPageBreak/>
              <w:t>表，以便利人民共享及公平利用政府資訊，保障人民知的權利，增進人民對公共事務之瞭解、信賴及監督，並促進民主參與。</w:t>
            </w:r>
          </w:p>
        </w:tc>
        <w:tc>
          <w:tcPr>
            <w:tcW w:w="4366" w:type="dxa"/>
            <w:shd w:val="clear" w:color="auto" w:fill="auto"/>
          </w:tcPr>
          <w:p w:rsidR="00462852" w:rsidRPr="00FA4C3D" w:rsidRDefault="006441A8"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lastRenderedPageBreak/>
              <w:t>遵照決議事項辦理。</w:t>
            </w:r>
          </w:p>
        </w:tc>
      </w:tr>
      <w:tr w:rsidR="00462852" w:rsidRPr="00FA4C3D" w:rsidTr="00C03D8B">
        <w:trPr>
          <w:trHeight w:val="2203"/>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lastRenderedPageBreak/>
              <w:t>(</w:t>
            </w:r>
            <w:r w:rsidRPr="00FA4C3D">
              <w:rPr>
                <w:rFonts w:ascii="Arial" w:hAnsi="Arial" w:cs="Arial"/>
                <w:color w:val="000000"/>
                <w:kern w:val="0"/>
                <w:sz w:val="20"/>
                <w:szCs w:val="20"/>
              </w:rPr>
              <w:t>十四</w:t>
            </w:r>
            <w:r w:rsidRPr="00FA4C3D">
              <w:rPr>
                <w:rFonts w:ascii="Arial" w:hAnsi="Arial" w:cs="Arial"/>
                <w:color w:val="000000"/>
                <w:kern w:val="0"/>
                <w:sz w:val="20"/>
                <w:szCs w:val="20"/>
              </w:rPr>
              <w:t>)</w:t>
            </w:r>
          </w:p>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D912DB" w:rsidRDefault="00462852" w:rsidP="00D912DB">
            <w:pPr>
              <w:pStyle w:val="23"/>
            </w:pPr>
            <w:r w:rsidRPr="00D912DB">
              <w:t>為避免濫用政府預算播送形象廣告違反行政中立原則並影響選舉公平，總統副總統任期屆滿前一年內，政府政令宣導廣告應限於社會治安維護、交通秩序疏導、災害防救、傳染病防治、環境保護、節約能源或新法令及政策實施等之宣導廣告，不得播送其他政治性宣導廣告。</w:t>
            </w:r>
          </w:p>
        </w:tc>
        <w:tc>
          <w:tcPr>
            <w:tcW w:w="4366" w:type="dxa"/>
            <w:shd w:val="clear" w:color="auto" w:fill="auto"/>
          </w:tcPr>
          <w:p w:rsidR="00462852" w:rsidRPr="00FA4C3D" w:rsidRDefault="0013751A"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遵照決議事項辦理。</w:t>
            </w:r>
          </w:p>
        </w:tc>
      </w:tr>
      <w:tr w:rsidR="00462852" w:rsidRPr="00FA4C3D" w:rsidTr="008301C1">
        <w:trPr>
          <w:trHeight w:val="1210"/>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十五</w:t>
            </w:r>
            <w:r w:rsidRPr="00FA4C3D">
              <w:rPr>
                <w:rFonts w:ascii="Arial" w:hAnsi="Arial" w:cs="Arial"/>
                <w:color w:val="000000"/>
                <w:kern w:val="0"/>
                <w:sz w:val="20"/>
                <w:szCs w:val="20"/>
              </w:rPr>
              <w:t>)</w:t>
            </w:r>
          </w:p>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D912DB" w:rsidRDefault="00462852" w:rsidP="00AD735F">
            <w:pPr>
              <w:pStyle w:val="23"/>
            </w:pPr>
            <w:proofErr w:type="gramStart"/>
            <w:r w:rsidRPr="00D912DB">
              <w:t>鑑</w:t>
            </w:r>
            <w:proofErr w:type="gramEnd"/>
            <w:r w:rsidRPr="00D912DB">
              <w:t>於原住民族及離島等地區因地理環境特殊，受限於交通不便，醫療資源及健康照護服務相較台灣本島，普遍有不充足與不完善之情形。為使該等地區民眾獲得平等之完善醫療與照顧，</w:t>
            </w:r>
            <w:proofErr w:type="gramStart"/>
            <w:r w:rsidRPr="00D912DB">
              <w:rPr>
                <w:rFonts w:eastAsia="TimesNewRoman"/>
              </w:rPr>
              <w:t>104</w:t>
            </w:r>
            <w:proofErr w:type="gramEnd"/>
            <w:r w:rsidRPr="00D912DB">
              <w:t>年度中央政府總預算案中有關「原住民族及離島地區醫療、照護、保健相關服務所需及資源建置之相關預算」，請行政院責成主計總處及相關機關</w:t>
            </w:r>
            <w:proofErr w:type="gramStart"/>
            <w:r w:rsidRPr="00D912DB">
              <w:t>覈</w:t>
            </w:r>
            <w:proofErr w:type="gramEnd"/>
            <w:r w:rsidRPr="00D912DB">
              <w:t>實配賦額度。</w:t>
            </w:r>
          </w:p>
        </w:tc>
        <w:tc>
          <w:tcPr>
            <w:tcW w:w="4366" w:type="dxa"/>
            <w:shd w:val="clear" w:color="auto" w:fill="auto"/>
          </w:tcPr>
          <w:p w:rsidR="00462852" w:rsidRPr="00FA4C3D" w:rsidRDefault="0013751A"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非本所主政業務。</w:t>
            </w:r>
          </w:p>
        </w:tc>
      </w:tr>
      <w:tr w:rsidR="00462852" w:rsidRPr="00FA4C3D" w:rsidTr="00D912DB">
        <w:trPr>
          <w:trHeight w:val="785"/>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十六</w:t>
            </w:r>
            <w:r w:rsidRPr="00FA4C3D">
              <w:rPr>
                <w:rFonts w:ascii="Arial" w:hAnsi="Arial" w:cs="Arial"/>
                <w:color w:val="000000"/>
                <w:kern w:val="0"/>
                <w:sz w:val="20"/>
                <w:szCs w:val="20"/>
              </w:rPr>
              <w:t>)</w:t>
            </w:r>
          </w:p>
        </w:tc>
        <w:tc>
          <w:tcPr>
            <w:tcW w:w="4683" w:type="dxa"/>
            <w:shd w:val="clear" w:color="auto" w:fill="auto"/>
          </w:tcPr>
          <w:p w:rsidR="00462852" w:rsidRPr="00D912DB" w:rsidRDefault="00462852" w:rsidP="00AD735F">
            <w:pPr>
              <w:pStyle w:val="23"/>
            </w:pPr>
            <w:r w:rsidRPr="00D912DB">
              <w:t>有</w:t>
            </w:r>
            <w:proofErr w:type="gramStart"/>
            <w:r w:rsidRPr="00D912DB">
              <w:t>鑑</w:t>
            </w:r>
            <w:proofErr w:type="gramEnd"/>
            <w:r w:rsidRPr="00D912DB">
              <w:t>於臺大醫院兒童醫院已於</w:t>
            </w:r>
            <w:r w:rsidRPr="00D912DB">
              <w:rPr>
                <w:rFonts w:eastAsia="TimesNewRoman"/>
              </w:rPr>
              <w:t>103</w:t>
            </w:r>
            <w:r w:rsidRPr="00D912DB">
              <w:t>年</w:t>
            </w:r>
            <w:r w:rsidRPr="00D912DB">
              <w:rPr>
                <w:rFonts w:eastAsia="TimesNewRoman"/>
              </w:rPr>
              <w:t>8</w:t>
            </w:r>
            <w:r w:rsidRPr="00D912DB">
              <w:t>月</w:t>
            </w:r>
            <w:r w:rsidRPr="00D912DB">
              <w:rPr>
                <w:rFonts w:eastAsia="TimesNewRoman"/>
              </w:rPr>
              <w:t>1</w:t>
            </w:r>
            <w:r w:rsidRPr="00D912DB">
              <w:t>日正式開幕，肩負國家社會大眾之深刻期望，基於兒童是國家未來的重要棟樑，其健康代表著國家未來的競爭力，惟</w:t>
            </w:r>
            <w:proofErr w:type="gramStart"/>
            <w:r w:rsidRPr="00D912DB">
              <w:t>面對少子化</w:t>
            </w:r>
            <w:proofErr w:type="gramEnd"/>
            <w:r w:rsidRPr="00D912DB">
              <w:t>問題日益嚴重的台灣，兒童健康問題卻仍未受到政府高度重視。基此，為落實臺大醫院兒童醫院提供國家級兒童醫療服務、研究及教學之任務，特建請教育部與衛生福利部自</w:t>
            </w:r>
            <w:proofErr w:type="gramStart"/>
            <w:r w:rsidRPr="00D912DB">
              <w:rPr>
                <w:rFonts w:eastAsia="TimesNewRoman"/>
              </w:rPr>
              <w:t>104</w:t>
            </w:r>
            <w:proofErr w:type="gramEnd"/>
            <w:r w:rsidRPr="00D912DB">
              <w:t>年度起，應於業務計畫中，</w:t>
            </w:r>
            <w:proofErr w:type="gramStart"/>
            <w:r w:rsidRPr="00D912DB">
              <w:t>匡列預算</w:t>
            </w:r>
            <w:proofErr w:type="gramEnd"/>
            <w:r w:rsidRPr="00D912DB">
              <w:t>納入兒童醫學相關研究主題</w:t>
            </w:r>
            <w:proofErr w:type="gramStart"/>
            <w:r w:rsidRPr="00D912DB">
              <w:t>（</w:t>
            </w:r>
            <w:proofErr w:type="gramEnd"/>
            <w:r w:rsidRPr="00D912DB">
              <w:t>例如：一般兒科教學研究、兒童急診教學研究、兒童不當對待（虐待）教學研究、兒童健康</w:t>
            </w:r>
            <w:proofErr w:type="gramStart"/>
            <w:r w:rsidRPr="00D912DB">
              <w:t>褔祉</w:t>
            </w:r>
            <w:proofErr w:type="gramEnd"/>
            <w:r w:rsidRPr="00D912DB">
              <w:t>指標教學研究、兒童社區醫學教學研究、青少年醫學教學研究</w:t>
            </w:r>
            <w:r w:rsidRPr="00D912DB">
              <w:t>…</w:t>
            </w:r>
            <w:proofErr w:type="gramStart"/>
            <w:r w:rsidRPr="00D912DB">
              <w:t>…</w:t>
            </w:r>
            <w:proofErr w:type="gramEnd"/>
            <w:r w:rsidRPr="00D912DB">
              <w:t>等等相關研究</w:t>
            </w:r>
            <w:proofErr w:type="gramStart"/>
            <w:r w:rsidRPr="00D912DB">
              <w:t>）</w:t>
            </w:r>
            <w:proofErr w:type="gramEnd"/>
            <w:r w:rsidRPr="00D912DB">
              <w:t>，並</w:t>
            </w:r>
            <w:proofErr w:type="gramStart"/>
            <w:r w:rsidRPr="00D912DB">
              <w:t>提撥</w:t>
            </w:r>
            <w:proofErr w:type="gramEnd"/>
            <w:r w:rsidRPr="00D912DB">
              <w:t>一定比例預算、專款專用做為兒童醫院之臨床教學研究用途，以培養我國兒童醫療與保健人才、照顧轉</w:t>
            </w:r>
            <w:proofErr w:type="gramStart"/>
            <w:r w:rsidRPr="00D912DB">
              <w:t>診難症</w:t>
            </w:r>
            <w:proofErr w:type="gramEnd"/>
            <w:r w:rsidRPr="00D912DB">
              <w:t>兒童，及增進我國兒童健康及福祉，並提高我國兒童醫療照顧水準，落實臺大醫院兒童醫院捍衛國家兒童健康之使命。</w:t>
            </w:r>
          </w:p>
        </w:tc>
        <w:tc>
          <w:tcPr>
            <w:tcW w:w="4366" w:type="dxa"/>
            <w:shd w:val="clear" w:color="auto" w:fill="auto"/>
          </w:tcPr>
          <w:p w:rsidR="00462852" w:rsidRPr="00FA4C3D" w:rsidRDefault="0035420B" w:rsidP="000633B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非本所主政業務。</w:t>
            </w:r>
          </w:p>
        </w:tc>
      </w:tr>
      <w:tr w:rsidR="00462852" w:rsidRPr="00FA4C3D" w:rsidTr="002C2DD8">
        <w:trPr>
          <w:trHeight w:val="785"/>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lastRenderedPageBreak/>
              <w:t>(</w:t>
            </w:r>
            <w:r w:rsidRPr="00FA4C3D">
              <w:rPr>
                <w:rFonts w:ascii="Arial" w:hAnsi="Arial" w:cs="Arial"/>
                <w:color w:val="000000"/>
                <w:kern w:val="0"/>
                <w:sz w:val="20"/>
                <w:szCs w:val="20"/>
              </w:rPr>
              <w:t>十七</w:t>
            </w:r>
            <w:r w:rsidRPr="00FA4C3D">
              <w:rPr>
                <w:rFonts w:ascii="Arial" w:hAnsi="Arial" w:cs="Arial"/>
                <w:color w:val="000000"/>
                <w:kern w:val="0"/>
                <w:sz w:val="20"/>
                <w:szCs w:val="20"/>
              </w:rPr>
              <w:t>)</w:t>
            </w:r>
          </w:p>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D912DB" w:rsidRDefault="00462852" w:rsidP="00AD735F">
            <w:pPr>
              <w:pStyle w:val="23"/>
            </w:pPr>
            <w:r w:rsidRPr="00D912DB">
              <w:t>中華民國</w:t>
            </w:r>
            <w:proofErr w:type="gramStart"/>
            <w:r w:rsidRPr="00D912DB">
              <w:rPr>
                <w:rFonts w:eastAsia="TimesNewRoman"/>
              </w:rPr>
              <w:t>104</w:t>
            </w:r>
            <w:proofErr w:type="gramEnd"/>
            <w:r w:rsidRPr="00D912DB">
              <w:t>年度中央政府總預算案，有關公務部分各單位預算之審查，歲入、歲出之各款、項、目涉及附屬單位預算營業及非營業部分（如營業盈餘或作業賸餘繳庫等項目），審查報告本應予「暫</w:t>
            </w:r>
            <w:proofErr w:type="gramStart"/>
            <w:r w:rsidRPr="00D912DB">
              <w:t>照列</w:t>
            </w:r>
            <w:proofErr w:type="gramEnd"/>
            <w:r w:rsidRPr="00D912DB">
              <w:t>，</w:t>
            </w:r>
            <w:proofErr w:type="gramStart"/>
            <w:r w:rsidRPr="00D912DB">
              <w:t>俟</w:t>
            </w:r>
            <w:proofErr w:type="gramEnd"/>
            <w:r w:rsidRPr="00D912DB">
              <w:t>附屬單位預算審議確定，再行調整。」</w:t>
            </w:r>
            <w:proofErr w:type="gramStart"/>
            <w:r w:rsidRPr="00D912DB">
              <w:t>惟倘委員會</w:t>
            </w:r>
            <w:proofErr w:type="gramEnd"/>
            <w:r w:rsidRPr="00D912DB">
              <w:t>在審查時，已就該部分預算作成實質上之增刪調整或相關決議，審查總報告仍應尊重委員會審查結果，並予</w:t>
            </w:r>
            <w:proofErr w:type="gramStart"/>
            <w:r w:rsidRPr="00D912DB">
              <w:t>照列</w:t>
            </w:r>
            <w:proofErr w:type="gramEnd"/>
            <w:r w:rsidRPr="00D912DB">
              <w:t>。</w:t>
            </w:r>
          </w:p>
        </w:tc>
        <w:tc>
          <w:tcPr>
            <w:tcW w:w="4366" w:type="dxa"/>
            <w:shd w:val="clear" w:color="auto" w:fill="auto"/>
          </w:tcPr>
          <w:p w:rsidR="00462852" w:rsidRPr="00FA4C3D" w:rsidRDefault="0035420B" w:rsidP="0035420B">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非本所主政業務。</w:t>
            </w:r>
          </w:p>
        </w:tc>
      </w:tr>
      <w:tr w:rsidR="00462852" w:rsidRPr="00FA4C3D" w:rsidTr="00B9202B">
        <w:trPr>
          <w:trHeight w:val="1069"/>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r w:rsidRPr="00FA4C3D">
              <w:rPr>
                <w:rFonts w:ascii="Arial" w:hAnsi="Arial" w:cs="Arial"/>
                <w:color w:val="000000"/>
                <w:kern w:val="0"/>
                <w:sz w:val="20"/>
                <w:szCs w:val="20"/>
              </w:rPr>
              <w:t>(</w:t>
            </w:r>
            <w:r w:rsidRPr="00FA4C3D">
              <w:rPr>
                <w:rFonts w:ascii="Arial" w:hAnsi="Arial" w:cs="Arial"/>
                <w:color w:val="000000"/>
                <w:kern w:val="0"/>
                <w:sz w:val="20"/>
                <w:szCs w:val="20"/>
              </w:rPr>
              <w:t>十八</w:t>
            </w:r>
            <w:r w:rsidRPr="00FA4C3D">
              <w:rPr>
                <w:rFonts w:ascii="Arial" w:hAnsi="Arial" w:cs="Arial"/>
                <w:color w:val="000000"/>
                <w:kern w:val="0"/>
                <w:sz w:val="20"/>
                <w:szCs w:val="20"/>
              </w:rPr>
              <w:t>)</w:t>
            </w:r>
          </w:p>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D912DB" w:rsidRDefault="00462852" w:rsidP="00AD735F">
            <w:pPr>
              <w:pStyle w:val="23"/>
            </w:pPr>
            <w:r w:rsidRPr="00D912DB">
              <w:t>台灣糖業股份有限公司、台灣中油股份有限公司、台灣電力股份有限公司、台灣自來水股份有限公司四家公司</w:t>
            </w:r>
            <w:proofErr w:type="gramStart"/>
            <w:r w:rsidRPr="00D912DB">
              <w:rPr>
                <w:rFonts w:eastAsia="TimesNewRoman"/>
              </w:rPr>
              <w:t>100</w:t>
            </w:r>
            <w:proofErr w:type="gramEnd"/>
            <w:r w:rsidRPr="00D912DB">
              <w:t>年度經營績效獎金適用</w:t>
            </w:r>
            <w:r w:rsidRPr="00D912DB">
              <w:rPr>
                <w:rFonts w:eastAsia="TimesNewRoman"/>
              </w:rPr>
              <w:t>96</w:t>
            </w:r>
            <w:r w:rsidRPr="00D912DB">
              <w:t>年修正之「經濟部所屬事業經營績效獎金實施要點」辦理。</w:t>
            </w:r>
          </w:p>
        </w:tc>
        <w:tc>
          <w:tcPr>
            <w:tcW w:w="4366" w:type="dxa"/>
            <w:shd w:val="clear" w:color="auto" w:fill="auto"/>
          </w:tcPr>
          <w:p w:rsidR="00462852" w:rsidRPr="00FA4C3D" w:rsidRDefault="0035420B" w:rsidP="001B3578">
            <w:pPr>
              <w:spacing w:line="360" w:lineRule="exact"/>
              <w:jc w:val="both"/>
              <w:rPr>
                <w:rFonts w:ascii="Arial" w:hAnsi="Arial" w:cs="Arial"/>
                <w:color w:val="000000"/>
                <w:kern w:val="0"/>
                <w:sz w:val="20"/>
                <w:szCs w:val="20"/>
              </w:rPr>
            </w:pPr>
            <w:r>
              <w:rPr>
                <w:rFonts w:ascii="Arial" w:hAnsi="Arial" w:cs="Arial" w:hint="eastAsia"/>
                <w:color w:val="000000"/>
                <w:kern w:val="0"/>
                <w:sz w:val="20"/>
                <w:szCs w:val="20"/>
              </w:rPr>
              <w:t>非本所主政業務。</w:t>
            </w:r>
          </w:p>
        </w:tc>
      </w:tr>
      <w:tr w:rsidR="00462852" w:rsidRPr="00FA4C3D" w:rsidTr="004354A9">
        <w:trPr>
          <w:trHeight w:val="70"/>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FA4C3D" w:rsidRDefault="00462852" w:rsidP="00EE1FD9">
            <w:pPr>
              <w:spacing w:line="360" w:lineRule="exact"/>
              <w:jc w:val="both"/>
              <w:rPr>
                <w:rFonts w:ascii="Arial" w:hAnsi="Arial" w:cs="Arial"/>
                <w:b/>
                <w:color w:val="000000"/>
                <w:kern w:val="0"/>
                <w:sz w:val="20"/>
                <w:szCs w:val="20"/>
              </w:rPr>
            </w:pPr>
            <w:r w:rsidRPr="00FA4C3D">
              <w:rPr>
                <w:rFonts w:ascii="Arial" w:hAnsi="Arial" w:cs="Arial"/>
                <w:b/>
                <w:color w:val="000000"/>
                <w:kern w:val="0"/>
                <w:sz w:val="20"/>
                <w:szCs w:val="20"/>
              </w:rPr>
              <w:t>貳、各組審查決議部分</w:t>
            </w:r>
          </w:p>
        </w:tc>
        <w:tc>
          <w:tcPr>
            <w:tcW w:w="4366" w:type="dxa"/>
            <w:shd w:val="clear" w:color="auto" w:fill="auto"/>
          </w:tcPr>
          <w:p w:rsidR="00462852" w:rsidRPr="00FA4C3D" w:rsidRDefault="00462852" w:rsidP="000633B8">
            <w:pPr>
              <w:spacing w:line="360" w:lineRule="exact"/>
              <w:jc w:val="both"/>
              <w:rPr>
                <w:rFonts w:ascii="Arial" w:hAnsi="Arial" w:cs="Arial"/>
                <w:color w:val="000000"/>
                <w:kern w:val="0"/>
                <w:sz w:val="20"/>
                <w:szCs w:val="20"/>
              </w:rPr>
            </w:pPr>
          </w:p>
        </w:tc>
      </w:tr>
      <w:tr w:rsidR="00462852" w:rsidRPr="00FA4C3D" w:rsidTr="004354A9">
        <w:trPr>
          <w:trHeight w:val="70"/>
        </w:trPr>
        <w:tc>
          <w:tcPr>
            <w:tcW w:w="1044" w:type="dxa"/>
            <w:shd w:val="clear" w:color="auto" w:fill="auto"/>
          </w:tcPr>
          <w:p w:rsidR="00462852" w:rsidRPr="00FA4C3D" w:rsidRDefault="00462852" w:rsidP="00B57178">
            <w:pPr>
              <w:spacing w:line="360" w:lineRule="exact"/>
              <w:jc w:val="center"/>
              <w:rPr>
                <w:rFonts w:ascii="Arial" w:hAnsi="Arial" w:cs="Arial"/>
                <w:snapToGrid w:val="0"/>
                <w:color w:val="000000"/>
                <w:kern w:val="0"/>
                <w:sz w:val="20"/>
                <w:szCs w:val="20"/>
              </w:rPr>
            </w:pPr>
          </w:p>
        </w:tc>
        <w:tc>
          <w:tcPr>
            <w:tcW w:w="4683" w:type="dxa"/>
            <w:shd w:val="clear" w:color="auto" w:fill="auto"/>
          </w:tcPr>
          <w:p w:rsidR="00462852" w:rsidRPr="00FA4C3D" w:rsidRDefault="0098601E" w:rsidP="00B57178">
            <w:pPr>
              <w:pStyle w:val="21"/>
              <w:spacing w:line="360" w:lineRule="exact"/>
              <w:ind w:leftChars="0" w:left="0" w:firstLineChars="0" w:firstLine="0"/>
              <w:rPr>
                <w:rFonts w:ascii="Arial" w:hAnsi="Arial" w:cs="Arial"/>
                <w:bCs w:val="0"/>
                <w:snapToGrid/>
                <w:color w:val="000000"/>
                <w:kern w:val="0"/>
                <w:sz w:val="20"/>
                <w:szCs w:val="20"/>
              </w:rPr>
            </w:pPr>
            <w:r>
              <w:rPr>
                <w:rFonts w:ascii="Arial" w:hAnsi="Arial" w:cs="Arial" w:hint="eastAsia"/>
                <w:b/>
                <w:color w:val="000000"/>
                <w:kern w:val="0"/>
                <w:sz w:val="20"/>
                <w:szCs w:val="20"/>
              </w:rPr>
              <w:t>一</w:t>
            </w:r>
            <w:r w:rsidR="00462852" w:rsidRPr="00FA4C3D">
              <w:rPr>
                <w:rFonts w:ascii="Arial" w:hAnsi="Arial" w:cs="Arial"/>
                <w:b/>
                <w:color w:val="000000"/>
                <w:kern w:val="0"/>
                <w:sz w:val="20"/>
                <w:szCs w:val="20"/>
              </w:rPr>
              <w:t>、歲出部分</w:t>
            </w:r>
          </w:p>
        </w:tc>
        <w:tc>
          <w:tcPr>
            <w:tcW w:w="4366" w:type="dxa"/>
            <w:shd w:val="clear" w:color="auto" w:fill="auto"/>
          </w:tcPr>
          <w:p w:rsidR="00462852" w:rsidRPr="00FA4C3D" w:rsidRDefault="00462852" w:rsidP="000633B8">
            <w:pPr>
              <w:spacing w:line="360" w:lineRule="exact"/>
              <w:jc w:val="both"/>
              <w:rPr>
                <w:rFonts w:ascii="Arial" w:hAnsi="Arial" w:cs="Arial"/>
                <w:color w:val="000000"/>
                <w:kern w:val="0"/>
                <w:sz w:val="20"/>
                <w:szCs w:val="20"/>
              </w:rPr>
            </w:pPr>
          </w:p>
        </w:tc>
      </w:tr>
      <w:tr w:rsidR="00462852" w:rsidRPr="00FA4C3D" w:rsidTr="004354A9">
        <w:trPr>
          <w:trHeight w:val="70"/>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FA4C3D" w:rsidRDefault="00462852" w:rsidP="0098601E">
            <w:pPr>
              <w:spacing w:line="360" w:lineRule="exact"/>
              <w:jc w:val="both"/>
              <w:rPr>
                <w:rFonts w:ascii="Arial" w:hAnsi="Arial" w:cs="Arial"/>
                <w:b/>
                <w:color w:val="000000"/>
                <w:kern w:val="0"/>
                <w:sz w:val="20"/>
                <w:szCs w:val="20"/>
              </w:rPr>
            </w:pPr>
            <w:r w:rsidRPr="00FA4C3D">
              <w:rPr>
                <w:rFonts w:ascii="Arial" w:hAnsi="Arial" w:cs="Arial"/>
                <w:b/>
                <w:color w:val="000000"/>
                <w:kern w:val="0"/>
                <w:sz w:val="20"/>
                <w:szCs w:val="20"/>
              </w:rPr>
              <w:t>第</w:t>
            </w:r>
            <w:r w:rsidRPr="00FA4C3D">
              <w:rPr>
                <w:rFonts w:ascii="Arial" w:hAnsi="Arial" w:cs="Arial"/>
                <w:b/>
                <w:color w:val="000000"/>
                <w:kern w:val="0"/>
                <w:sz w:val="20"/>
                <w:szCs w:val="20"/>
              </w:rPr>
              <w:t>2</w:t>
            </w:r>
            <w:r>
              <w:rPr>
                <w:rFonts w:ascii="Arial" w:hAnsi="Arial" w:cs="Arial" w:hint="eastAsia"/>
                <w:b/>
                <w:color w:val="000000"/>
                <w:kern w:val="0"/>
                <w:sz w:val="20"/>
                <w:szCs w:val="20"/>
              </w:rPr>
              <w:t>0</w:t>
            </w:r>
            <w:r w:rsidRPr="00FA4C3D">
              <w:rPr>
                <w:rFonts w:ascii="Arial" w:hAnsi="Arial" w:cs="Arial"/>
                <w:b/>
                <w:color w:val="000000"/>
                <w:kern w:val="0"/>
                <w:sz w:val="20"/>
                <w:szCs w:val="20"/>
              </w:rPr>
              <w:t>款第</w:t>
            </w:r>
            <w:r w:rsidR="0098601E">
              <w:rPr>
                <w:rFonts w:ascii="Arial" w:hAnsi="Arial" w:cs="Arial" w:hint="eastAsia"/>
                <w:b/>
                <w:color w:val="000000"/>
                <w:kern w:val="0"/>
                <w:sz w:val="20"/>
                <w:szCs w:val="20"/>
              </w:rPr>
              <w:t>7</w:t>
            </w:r>
            <w:r w:rsidRPr="00FA4C3D">
              <w:rPr>
                <w:rFonts w:ascii="Arial" w:hAnsi="Arial" w:cs="Arial"/>
                <w:b/>
                <w:color w:val="000000"/>
                <w:kern w:val="0"/>
                <w:sz w:val="20"/>
                <w:szCs w:val="20"/>
              </w:rPr>
              <w:t>項</w:t>
            </w:r>
            <w:r w:rsidRPr="00FA4C3D">
              <w:rPr>
                <w:rFonts w:ascii="Arial" w:hAnsi="Arial" w:cs="Arial"/>
                <w:b/>
                <w:color w:val="000000"/>
                <w:kern w:val="0"/>
                <w:sz w:val="20"/>
                <w:szCs w:val="20"/>
              </w:rPr>
              <w:t xml:space="preserve"> </w:t>
            </w:r>
            <w:r w:rsidRPr="00FA4C3D">
              <w:rPr>
                <w:rFonts w:ascii="Arial" w:hAnsi="Arial" w:cs="Arial"/>
                <w:b/>
                <w:color w:val="000000"/>
                <w:kern w:val="0"/>
                <w:sz w:val="20"/>
                <w:szCs w:val="20"/>
              </w:rPr>
              <w:t>衛生福利部</w:t>
            </w:r>
            <w:r w:rsidR="0098601E">
              <w:rPr>
                <w:rFonts w:ascii="Arial" w:hAnsi="Arial" w:cs="Arial" w:hint="eastAsia"/>
                <w:b/>
                <w:color w:val="000000"/>
                <w:kern w:val="0"/>
                <w:sz w:val="20"/>
                <w:szCs w:val="20"/>
              </w:rPr>
              <w:t>國家中醫藥研究所</w:t>
            </w:r>
          </w:p>
        </w:tc>
        <w:tc>
          <w:tcPr>
            <w:tcW w:w="4366" w:type="dxa"/>
            <w:shd w:val="clear" w:color="auto" w:fill="auto"/>
          </w:tcPr>
          <w:p w:rsidR="00462852" w:rsidRPr="00FA4C3D" w:rsidRDefault="00462852" w:rsidP="000633B8">
            <w:pPr>
              <w:spacing w:line="360" w:lineRule="exact"/>
              <w:jc w:val="both"/>
              <w:rPr>
                <w:rFonts w:ascii="Arial" w:hAnsi="Arial" w:cs="Arial"/>
                <w:color w:val="000000"/>
                <w:kern w:val="0"/>
                <w:sz w:val="20"/>
                <w:szCs w:val="20"/>
              </w:rPr>
            </w:pPr>
          </w:p>
        </w:tc>
      </w:tr>
      <w:tr w:rsidR="00462852" w:rsidRPr="00FA4C3D" w:rsidTr="004354A9">
        <w:trPr>
          <w:trHeight w:val="70"/>
        </w:trPr>
        <w:tc>
          <w:tcPr>
            <w:tcW w:w="1044" w:type="dxa"/>
            <w:shd w:val="clear" w:color="auto" w:fill="auto"/>
          </w:tcPr>
          <w:p w:rsidR="00462852" w:rsidRPr="00FA4C3D" w:rsidRDefault="00462852" w:rsidP="007004F3">
            <w:pPr>
              <w:spacing w:line="360" w:lineRule="exact"/>
              <w:jc w:val="center"/>
              <w:rPr>
                <w:rFonts w:ascii="Arial" w:hAnsi="Arial" w:cs="Arial"/>
                <w:color w:val="000000"/>
                <w:kern w:val="0"/>
                <w:sz w:val="20"/>
                <w:szCs w:val="20"/>
              </w:rPr>
            </w:pPr>
          </w:p>
        </w:tc>
        <w:tc>
          <w:tcPr>
            <w:tcW w:w="4683" w:type="dxa"/>
            <w:shd w:val="clear" w:color="auto" w:fill="auto"/>
          </w:tcPr>
          <w:p w:rsidR="00462852" w:rsidRPr="002D6AED" w:rsidRDefault="00A150D1" w:rsidP="00A150D1">
            <w:pPr>
              <w:pStyle w:val="1"/>
            </w:pPr>
            <w:r>
              <w:rPr>
                <w:rFonts w:hint="eastAsia"/>
                <w:color w:val="auto"/>
              </w:rPr>
              <w:t>國家中醫藥研究所</w:t>
            </w:r>
            <w:r>
              <w:rPr>
                <w:rFonts w:hint="eastAsia"/>
                <w:color w:val="auto"/>
              </w:rPr>
              <w:t>1</w:t>
            </w:r>
            <w:r>
              <w:rPr>
                <w:rFonts w:hint="eastAsia"/>
                <w:color w:val="auto"/>
              </w:rPr>
              <w:t>億</w:t>
            </w:r>
            <w:r>
              <w:rPr>
                <w:rFonts w:hint="eastAsia"/>
                <w:color w:val="auto"/>
              </w:rPr>
              <w:t>5,206</w:t>
            </w:r>
            <w:r>
              <w:rPr>
                <w:rFonts w:hint="eastAsia"/>
                <w:color w:val="auto"/>
              </w:rPr>
              <w:t>萬</w:t>
            </w:r>
            <w:r>
              <w:rPr>
                <w:rFonts w:hint="eastAsia"/>
                <w:color w:val="auto"/>
              </w:rPr>
              <w:t>2,000</w:t>
            </w:r>
            <w:r>
              <w:rPr>
                <w:rFonts w:hint="eastAsia"/>
                <w:color w:val="auto"/>
              </w:rPr>
              <w:t>元，</w:t>
            </w:r>
            <w:proofErr w:type="gramStart"/>
            <w:r>
              <w:rPr>
                <w:rFonts w:hint="eastAsia"/>
                <w:color w:val="auto"/>
              </w:rPr>
              <w:t>照列</w:t>
            </w:r>
            <w:proofErr w:type="gramEnd"/>
            <w:r w:rsidR="00462852" w:rsidRPr="005B6F55">
              <w:rPr>
                <w:rFonts w:hint="eastAsia"/>
                <w:color w:val="auto"/>
              </w:rPr>
              <w:t>。</w:t>
            </w:r>
          </w:p>
        </w:tc>
        <w:tc>
          <w:tcPr>
            <w:tcW w:w="4366" w:type="dxa"/>
            <w:shd w:val="clear" w:color="auto" w:fill="auto"/>
          </w:tcPr>
          <w:p w:rsidR="00462852" w:rsidRPr="00FA4C3D" w:rsidRDefault="00462852" w:rsidP="00C111B3">
            <w:pPr>
              <w:spacing w:beforeLines="15"/>
              <w:jc w:val="both"/>
              <w:rPr>
                <w:rFonts w:ascii="Arial" w:hAnsi="Arial" w:cs="Arial"/>
                <w:color w:val="000000"/>
                <w:kern w:val="0"/>
                <w:sz w:val="20"/>
                <w:szCs w:val="20"/>
              </w:rPr>
            </w:pPr>
          </w:p>
        </w:tc>
      </w:tr>
      <w:tr w:rsidR="00462852" w:rsidRPr="00FA4C3D" w:rsidTr="00241930">
        <w:trPr>
          <w:trHeight w:val="360"/>
        </w:trPr>
        <w:tc>
          <w:tcPr>
            <w:tcW w:w="1044" w:type="dxa"/>
            <w:shd w:val="clear" w:color="auto" w:fill="auto"/>
          </w:tcPr>
          <w:p w:rsidR="00462852" w:rsidRPr="00FA4C3D" w:rsidRDefault="00462852" w:rsidP="006B5BAB">
            <w:pPr>
              <w:spacing w:line="360" w:lineRule="exact"/>
              <w:jc w:val="center"/>
              <w:rPr>
                <w:rFonts w:ascii="Arial" w:hAnsi="Arial" w:cs="Arial"/>
                <w:color w:val="000000"/>
                <w:kern w:val="0"/>
                <w:sz w:val="20"/>
                <w:szCs w:val="20"/>
              </w:rPr>
            </w:pPr>
          </w:p>
        </w:tc>
        <w:tc>
          <w:tcPr>
            <w:tcW w:w="4683" w:type="dxa"/>
            <w:shd w:val="clear" w:color="auto" w:fill="auto"/>
          </w:tcPr>
          <w:p w:rsidR="00462852" w:rsidRPr="00FA4C3D" w:rsidRDefault="00462852" w:rsidP="002D4BC2">
            <w:pPr>
              <w:autoSpaceDE w:val="0"/>
              <w:spacing w:line="360" w:lineRule="exact"/>
              <w:jc w:val="both"/>
              <w:rPr>
                <w:rFonts w:ascii="Arial" w:hAnsi="Arial" w:cs="Arial"/>
                <w:color w:val="000000"/>
                <w:kern w:val="0"/>
                <w:sz w:val="20"/>
                <w:szCs w:val="20"/>
              </w:rPr>
            </w:pPr>
            <w:r w:rsidRPr="00FA4C3D">
              <w:rPr>
                <w:rFonts w:ascii="Arial" w:hAnsi="Arial" w:cs="Arial"/>
                <w:b/>
                <w:color w:val="000000"/>
                <w:kern w:val="0"/>
                <w:sz w:val="20"/>
                <w:szCs w:val="20"/>
              </w:rPr>
              <w:t>本項通過</w:t>
            </w:r>
            <w:r w:rsidRPr="005850BB">
              <w:rPr>
                <w:rFonts w:ascii="Arial" w:hAnsi="Arial" w:cs="Arial" w:hint="eastAsia"/>
                <w:b/>
                <w:color w:val="000000"/>
                <w:kern w:val="0"/>
                <w:sz w:val="20"/>
                <w:szCs w:val="20"/>
              </w:rPr>
              <w:t>決議</w:t>
            </w:r>
            <w:r w:rsidR="002D4BC2">
              <w:rPr>
                <w:rFonts w:ascii="Arial" w:hAnsi="Arial" w:cs="Arial" w:hint="eastAsia"/>
                <w:b/>
                <w:color w:val="000000"/>
                <w:kern w:val="0"/>
                <w:sz w:val="20"/>
                <w:szCs w:val="20"/>
              </w:rPr>
              <w:t>2</w:t>
            </w:r>
            <w:r w:rsidRPr="00FA4C3D">
              <w:rPr>
                <w:rFonts w:ascii="Arial" w:hAnsi="Arial" w:cs="Arial"/>
                <w:b/>
                <w:color w:val="000000"/>
                <w:kern w:val="0"/>
                <w:sz w:val="20"/>
                <w:szCs w:val="20"/>
              </w:rPr>
              <w:t>項：</w:t>
            </w:r>
          </w:p>
        </w:tc>
        <w:tc>
          <w:tcPr>
            <w:tcW w:w="4366" w:type="dxa"/>
            <w:shd w:val="clear" w:color="auto" w:fill="auto"/>
          </w:tcPr>
          <w:p w:rsidR="00462852" w:rsidRPr="00FA4C3D" w:rsidRDefault="00462852" w:rsidP="000633B8">
            <w:pPr>
              <w:spacing w:line="360" w:lineRule="exact"/>
              <w:jc w:val="both"/>
              <w:rPr>
                <w:rFonts w:ascii="Arial" w:hAnsi="Arial" w:cs="Arial"/>
                <w:color w:val="000000"/>
                <w:kern w:val="0"/>
                <w:sz w:val="20"/>
                <w:szCs w:val="20"/>
              </w:rPr>
            </w:pPr>
          </w:p>
        </w:tc>
      </w:tr>
      <w:tr w:rsidR="00562518" w:rsidRPr="00562518" w:rsidTr="00526F17">
        <w:trPr>
          <w:trHeight w:val="2309"/>
        </w:trPr>
        <w:tc>
          <w:tcPr>
            <w:tcW w:w="1044" w:type="dxa"/>
            <w:shd w:val="clear" w:color="auto" w:fill="auto"/>
          </w:tcPr>
          <w:p w:rsidR="00562518" w:rsidRPr="00562518" w:rsidRDefault="00562518" w:rsidP="00526F17">
            <w:pPr>
              <w:spacing w:line="360" w:lineRule="exact"/>
              <w:jc w:val="center"/>
              <w:rPr>
                <w:rFonts w:asciiTheme="minorEastAsia" w:eastAsiaTheme="minorEastAsia" w:hAnsiTheme="minorEastAsia" w:cs="Arial"/>
                <w:snapToGrid w:val="0"/>
                <w:kern w:val="0"/>
                <w:sz w:val="20"/>
                <w:szCs w:val="20"/>
              </w:rPr>
            </w:pPr>
            <w:r w:rsidRPr="00562518">
              <w:rPr>
                <w:rFonts w:asciiTheme="minorEastAsia" w:eastAsiaTheme="minorEastAsia" w:hAnsiTheme="minorEastAsia" w:cs="Arial"/>
                <w:snapToGrid w:val="0"/>
                <w:kern w:val="0"/>
                <w:sz w:val="20"/>
                <w:szCs w:val="20"/>
              </w:rPr>
              <w:t>(</w:t>
            </w:r>
            <w:proofErr w:type="gramStart"/>
            <w:r w:rsidRPr="00562518">
              <w:rPr>
                <w:rFonts w:asciiTheme="minorEastAsia" w:eastAsiaTheme="minorEastAsia" w:hAnsiTheme="minorEastAsia" w:cs="Arial"/>
                <w:snapToGrid w:val="0"/>
                <w:kern w:val="0"/>
                <w:sz w:val="20"/>
                <w:szCs w:val="20"/>
              </w:rPr>
              <w:t>一</w:t>
            </w:r>
            <w:proofErr w:type="gramEnd"/>
            <w:r w:rsidRPr="00562518">
              <w:rPr>
                <w:rFonts w:asciiTheme="minorEastAsia" w:eastAsiaTheme="minorEastAsia" w:hAnsiTheme="minorEastAsia" w:cs="Arial"/>
                <w:snapToGrid w:val="0"/>
                <w:kern w:val="0"/>
                <w:sz w:val="20"/>
                <w:szCs w:val="20"/>
              </w:rPr>
              <w:t>)</w:t>
            </w:r>
          </w:p>
          <w:p w:rsidR="00562518" w:rsidRPr="00562518" w:rsidRDefault="00562518" w:rsidP="00526F17">
            <w:pPr>
              <w:spacing w:line="360" w:lineRule="exact"/>
              <w:jc w:val="center"/>
              <w:rPr>
                <w:rFonts w:asciiTheme="minorEastAsia" w:eastAsiaTheme="minorEastAsia" w:hAnsiTheme="minorEastAsia" w:cs="Arial"/>
                <w:kern w:val="0"/>
                <w:sz w:val="20"/>
                <w:szCs w:val="20"/>
              </w:rPr>
            </w:pPr>
          </w:p>
        </w:tc>
        <w:tc>
          <w:tcPr>
            <w:tcW w:w="4683" w:type="dxa"/>
            <w:shd w:val="clear" w:color="auto" w:fill="auto"/>
          </w:tcPr>
          <w:p w:rsidR="00562518" w:rsidRPr="00562518" w:rsidRDefault="00562518" w:rsidP="00526F17">
            <w:pPr>
              <w:pStyle w:val="23"/>
              <w:rPr>
                <w:rFonts w:asciiTheme="minorEastAsia" w:eastAsiaTheme="minorEastAsia" w:hAnsiTheme="minorEastAsia"/>
                <w:color w:val="auto"/>
              </w:rPr>
            </w:pPr>
            <w:proofErr w:type="gramStart"/>
            <w:r w:rsidRPr="00562518">
              <w:rPr>
                <w:rFonts w:asciiTheme="minorEastAsia" w:eastAsiaTheme="minorEastAsia" w:hAnsiTheme="minorEastAsia" w:hint="eastAsia"/>
                <w:color w:val="auto"/>
              </w:rPr>
              <w:t>104</w:t>
            </w:r>
            <w:proofErr w:type="gramEnd"/>
            <w:r w:rsidRPr="00562518">
              <w:rPr>
                <w:rFonts w:asciiTheme="minorEastAsia" w:eastAsiaTheme="minorEastAsia" w:hAnsiTheme="minorEastAsia" w:hint="eastAsia"/>
                <w:color w:val="auto"/>
              </w:rPr>
              <w:t>年度衛生福利部國家中醫藥研究所「科技發展計畫」編列2,938萬7,000元。</w:t>
            </w:r>
          </w:p>
          <w:p w:rsidR="00562518" w:rsidRPr="00562518" w:rsidRDefault="00562518" w:rsidP="00562518">
            <w:pPr>
              <w:pStyle w:val="23"/>
              <w:numPr>
                <w:ilvl w:val="0"/>
                <w:numId w:val="6"/>
              </w:numPr>
              <w:rPr>
                <w:rFonts w:asciiTheme="minorEastAsia" w:eastAsiaTheme="minorEastAsia" w:hAnsiTheme="minorEastAsia"/>
                <w:color w:val="auto"/>
              </w:rPr>
            </w:pPr>
            <w:r w:rsidRPr="00562518">
              <w:rPr>
                <w:rFonts w:asciiTheme="minorEastAsia" w:eastAsiaTheme="minorEastAsia" w:hAnsiTheme="minorEastAsia" w:hint="eastAsia"/>
                <w:color w:val="auto"/>
              </w:rPr>
              <w:t>分支計畫「中藥品質研究方法之開發」預算1,100萬2,000元，預期效果包括：每年完成20種中藥分析方法之開發與研究、</w:t>
            </w:r>
            <w:r w:rsidRPr="00562518">
              <w:rPr>
                <w:rFonts w:asciiTheme="minorEastAsia" w:eastAsiaTheme="minorEastAsia" w:hAnsiTheme="minorEastAsia"/>
                <w:color w:val="auto"/>
              </w:rPr>
              <w:t>每年完成20個指標成分之製備與開發</w:t>
            </w:r>
            <w:r w:rsidRPr="00562518">
              <w:rPr>
                <w:rFonts w:asciiTheme="minorEastAsia" w:eastAsiaTheme="minorEastAsia" w:hAnsiTheme="minorEastAsia" w:hint="eastAsia"/>
                <w:color w:val="auto"/>
              </w:rPr>
              <w:t>，以及</w:t>
            </w:r>
            <w:r w:rsidRPr="00562518">
              <w:rPr>
                <w:rFonts w:asciiTheme="minorEastAsia" w:eastAsiaTheme="minorEastAsia" w:hAnsiTheme="minorEastAsia"/>
                <w:color w:val="auto"/>
              </w:rPr>
              <w:t>建置中藥與天然物分析資料庫。每年完成20種中藥材之HPLC指紋圖譜、指標成分的NMR、MS等之光譜資料以及可供查詢及比對資料。</w:t>
            </w:r>
            <w:r w:rsidRPr="00562518">
              <w:rPr>
                <w:rFonts w:asciiTheme="minorEastAsia" w:eastAsiaTheme="minorEastAsia" w:hAnsiTheme="minorEastAsia" w:hint="eastAsia"/>
                <w:color w:val="auto"/>
              </w:rPr>
              <w:t>至於是哪20種中藥應說</w:t>
            </w:r>
            <w:proofErr w:type="gramStart"/>
            <w:r w:rsidRPr="00562518">
              <w:rPr>
                <w:rFonts w:asciiTheme="minorEastAsia" w:eastAsiaTheme="minorEastAsia" w:hAnsiTheme="minorEastAsia" w:hint="eastAsia"/>
                <w:color w:val="auto"/>
              </w:rPr>
              <w:t>清楚，</w:t>
            </w:r>
            <w:proofErr w:type="gramEnd"/>
            <w:r w:rsidRPr="00562518">
              <w:rPr>
                <w:rFonts w:asciiTheme="minorEastAsia" w:eastAsiaTheme="minorEastAsia" w:hAnsiTheme="minorEastAsia" w:hint="eastAsia"/>
                <w:color w:val="auto"/>
              </w:rPr>
              <w:t>避免每年重覆研究；「設備及投資」490萬2,000元，其中機械設備390萬元及雜項設備費100萬2,000元，依規定應按實際需要</w:t>
            </w:r>
            <w:proofErr w:type="gramStart"/>
            <w:r w:rsidRPr="00562518">
              <w:rPr>
                <w:rFonts w:asciiTheme="minorEastAsia" w:eastAsiaTheme="minorEastAsia" w:hAnsiTheme="minorEastAsia" w:hint="eastAsia"/>
                <w:color w:val="auto"/>
              </w:rPr>
              <w:t>覈</w:t>
            </w:r>
            <w:proofErr w:type="gramEnd"/>
            <w:r w:rsidRPr="00562518">
              <w:rPr>
                <w:rFonts w:asciiTheme="minorEastAsia" w:eastAsiaTheme="minorEastAsia" w:hAnsiTheme="minorEastAsia" w:hint="eastAsia"/>
                <w:color w:val="auto"/>
              </w:rPr>
              <w:t>實計列，並應詳細列明名稱、規格、數量、單價及總價。</w:t>
            </w:r>
          </w:p>
          <w:p w:rsidR="00562518" w:rsidRPr="00562518" w:rsidRDefault="00562518" w:rsidP="00562518">
            <w:pPr>
              <w:pStyle w:val="23"/>
              <w:numPr>
                <w:ilvl w:val="0"/>
                <w:numId w:val="6"/>
              </w:numPr>
              <w:rPr>
                <w:rFonts w:asciiTheme="minorEastAsia" w:eastAsiaTheme="minorEastAsia" w:hAnsiTheme="minorEastAsia"/>
                <w:color w:val="auto"/>
              </w:rPr>
            </w:pPr>
            <w:r w:rsidRPr="00562518">
              <w:rPr>
                <w:rFonts w:asciiTheme="minorEastAsia" w:eastAsiaTheme="minorEastAsia" w:hAnsiTheme="minorEastAsia" w:hint="eastAsia"/>
                <w:color w:val="auto"/>
              </w:rPr>
              <w:t>分支計畫「中醫藥輔助治療之實證研究」預算660萬，預期成果是要完成1項常用傳統中藥輔助治</w:t>
            </w:r>
            <w:r w:rsidRPr="00562518">
              <w:rPr>
                <w:rFonts w:asciiTheme="minorEastAsia" w:eastAsiaTheme="minorEastAsia" w:hAnsiTheme="minorEastAsia" w:hint="eastAsia"/>
                <w:color w:val="auto"/>
              </w:rPr>
              <w:lastRenderedPageBreak/>
              <w:t>療慢性疾病之臨床前療效研究，主要是委託醫療或相關學術機構辦理(委辦費370萬元)；再加上「中西藥交互作用研究」、「強化本土中草藥之開發與應用研究」，中醫藥研究所應將其科技發成果提報衛生福利部，並彙編成「科技發展計畫成果暨績效報告」，</w:t>
            </w:r>
            <w:proofErr w:type="gramStart"/>
            <w:r w:rsidRPr="00562518">
              <w:rPr>
                <w:rFonts w:asciiTheme="minorEastAsia" w:eastAsiaTheme="minorEastAsia" w:hAnsiTheme="minorEastAsia" w:hint="eastAsia"/>
                <w:color w:val="auto"/>
              </w:rPr>
              <w:t>俾</w:t>
            </w:r>
            <w:proofErr w:type="gramEnd"/>
            <w:r w:rsidRPr="00562518">
              <w:rPr>
                <w:rFonts w:asciiTheme="minorEastAsia" w:eastAsiaTheme="minorEastAsia" w:hAnsiTheme="minorEastAsia" w:hint="eastAsia"/>
                <w:color w:val="auto"/>
              </w:rPr>
              <w:t>提供國會參考。</w:t>
            </w:r>
          </w:p>
          <w:p w:rsidR="00562518" w:rsidRPr="00562518" w:rsidRDefault="00562518" w:rsidP="00562518">
            <w:pPr>
              <w:pStyle w:val="23"/>
              <w:numPr>
                <w:ilvl w:val="0"/>
                <w:numId w:val="6"/>
              </w:numPr>
              <w:rPr>
                <w:rFonts w:asciiTheme="minorEastAsia" w:eastAsiaTheme="minorEastAsia" w:hAnsiTheme="minorEastAsia"/>
                <w:color w:val="auto"/>
              </w:rPr>
            </w:pPr>
            <w:r w:rsidRPr="00562518">
              <w:rPr>
                <w:rFonts w:asciiTheme="minorEastAsia" w:eastAsiaTheme="minorEastAsia" w:hAnsiTheme="minorEastAsia" w:hint="eastAsia"/>
                <w:color w:val="auto"/>
              </w:rPr>
              <w:t>綜上，為</w:t>
            </w:r>
            <w:proofErr w:type="gramStart"/>
            <w:r w:rsidRPr="00562518">
              <w:rPr>
                <w:rFonts w:asciiTheme="minorEastAsia" w:eastAsiaTheme="minorEastAsia" w:hAnsiTheme="minorEastAsia" w:hint="eastAsia"/>
                <w:color w:val="auto"/>
              </w:rPr>
              <w:t>撙</w:t>
            </w:r>
            <w:proofErr w:type="gramEnd"/>
            <w:r w:rsidRPr="00562518">
              <w:rPr>
                <w:rFonts w:asciiTheme="minorEastAsia" w:eastAsiaTheme="minorEastAsia" w:hAnsiTheme="minorEastAsia" w:hint="eastAsia"/>
                <w:color w:val="auto"/>
              </w:rPr>
              <w:t>節政府支出，</w:t>
            </w:r>
            <w:proofErr w:type="gramStart"/>
            <w:r w:rsidRPr="00562518">
              <w:rPr>
                <w:rFonts w:asciiTheme="minorEastAsia" w:eastAsiaTheme="minorEastAsia" w:hAnsiTheme="minorEastAsia" w:hint="eastAsia"/>
                <w:color w:val="auto"/>
              </w:rPr>
              <w:t>爰</w:t>
            </w:r>
            <w:proofErr w:type="gramEnd"/>
            <w:r w:rsidRPr="00562518">
              <w:rPr>
                <w:rFonts w:asciiTheme="minorEastAsia" w:eastAsiaTheme="minorEastAsia" w:hAnsiTheme="minorEastAsia" w:hint="eastAsia"/>
                <w:color w:val="auto"/>
              </w:rPr>
              <w:t>凍結100萬元，</w:t>
            </w:r>
            <w:proofErr w:type="gramStart"/>
            <w:r w:rsidRPr="00562518">
              <w:rPr>
                <w:rFonts w:asciiTheme="minorEastAsia" w:eastAsiaTheme="minorEastAsia" w:hAnsiTheme="minorEastAsia" w:hint="eastAsia"/>
                <w:color w:val="auto"/>
              </w:rPr>
              <w:t>俟</w:t>
            </w:r>
            <w:proofErr w:type="gramEnd"/>
            <w:r w:rsidRPr="00562518">
              <w:rPr>
                <w:rFonts w:asciiTheme="minorEastAsia" w:eastAsiaTheme="minorEastAsia" w:hAnsiTheme="minorEastAsia" w:hint="eastAsia"/>
                <w:color w:val="auto"/>
              </w:rPr>
              <w:t>衛生福利部針對上述問題提出說明及檢討改進方案，向立法院社會福利及衛生環境委員會提出專案報告並報經同意後，始得動支。</w:t>
            </w:r>
          </w:p>
        </w:tc>
        <w:tc>
          <w:tcPr>
            <w:tcW w:w="4366" w:type="dxa"/>
            <w:shd w:val="clear" w:color="auto" w:fill="auto"/>
          </w:tcPr>
          <w:p w:rsidR="00562518" w:rsidRPr="00562518" w:rsidRDefault="00562518" w:rsidP="00562518">
            <w:pPr>
              <w:pStyle w:val="23"/>
              <w:numPr>
                <w:ilvl w:val="0"/>
                <w:numId w:val="7"/>
              </w:numPr>
              <w:rPr>
                <w:rFonts w:asciiTheme="minorEastAsia" w:eastAsiaTheme="minorEastAsia" w:hAnsiTheme="minorEastAsia"/>
                <w:color w:val="auto"/>
              </w:rPr>
            </w:pPr>
            <w:r w:rsidRPr="00562518">
              <w:rPr>
                <w:rFonts w:asciiTheme="minorEastAsia" w:eastAsiaTheme="minorEastAsia" w:hAnsiTheme="minorEastAsia"/>
                <w:color w:val="auto"/>
              </w:rPr>
              <w:lastRenderedPageBreak/>
              <w:t>按中藥材管理標準或規範制定，需經嚴謹的實驗驗證程序，以確保品質與安全，目前「臺灣中藥典」第二版只訂定106個中藥材</w:t>
            </w:r>
            <w:r w:rsidRPr="00562518">
              <w:rPr>
                <w:rFonts w:asciiTheme="minorEastAsia" w:eastAsiaTheme="minorEastAsia" w:hAnsiTheme="minorEastAsia" w:hint="eastAsia"/>
                <w:color w:val="auto"/>
              </w:rPr>
              <w:t>具有指標成分含量</w:t>
            </w:r>
            <w:r w:rsidRPr="00562518">
              <w:rPr>
                <w:rFonts w:asciiTheme="minorEastAsia" w:eastAsiaTheme="minorEastAsia" w:hAnsiTheme="minorEastAsia"/>
                <w:color w:val="auto"/>
              </w:rPr>
              <w:t>規範(HPLC profile)，為持續強化中藥品質並增進國際競爭力，故需持續且更嚴謹的積極強化「臺灣中藥典」內容。</w:t>
            </w:r>
          </w:p>
          <w:p w:rsidR="00562518" w:rsidRPr="00562518" w:rsidRDefault="00562518" w:rsidP="00562518">
            <w:pPr>
              <w:pStyle w:val="23"/>
              <w:numPr>
                <w:ilvl w:val="0"/>
                <w:numId w:val="7"/>
              </w:numPr>
              <w:rPr>
                <w:rFonts w:asciiTheme="minorEastAsia" w:eastAsiaTheme="minorEastAsia" w:hAnsiTheme="minorEastAsia"/>
                <w:color w:val="auto"/>
              </w:rPr>
            </w:pPr>
            <w:r w:rsidRPr="00562518">
              <w:rPr>
                <w:rFonts w:asciiTheme="minorEastAsia" w:eastAsiaTheme="minorEastAsia" w:hAnsiTheme="minorEastAsia"/>
                <w:color w:val="auto"/>
              </w:rPr>
              <w:t>對於每年預計執行的藥材指紋圖譜分析品項，擇定「臺灣中藥典」中尚未訂定</w:t>
            </w:r>
            <w:r w:rsidRPr="00562518">
              <w:rPr>
                <w:rFonts w:asciiTheme="minorEastAsia" w:eastAsiaTheme="minorEastAsia" w:hAnsiTheme="minorEastAsia" w:hint="eastAsia"/>
                <w:color w:val="auto"/>
              </w:rPr>
              <w:t>指標成分含量</w:t>
            </w:r>
            <w:r w:rsidRPr="00562518">
              <w:rPr>
                <w:rFonts w:asciiTheme="minorEastAsia" w:eastAsiaTheme="minorEastAsia" w:hAnsiTheme="minorEastAsia"/>
                <w:color w:val="auto"/>
              </w:rPr>
              <w:t>規範之中藥材為主，並不會發生重複藥材研究的情形，</w:t>
            </w:r>
            <w:proofErr w:type="gramStart"/>
            <w:r w:rsidRPr="00562518">
              <w:rPr>
                <w:rFonts w:asciiTheme="minorEastAsia" w:eastAsiaTheme="minorEastAsia" w:hAnsiTheme="minorEastAsia"/>
                <w:color w:val="auto"/>
              </w:rPr>
              <w:t>103</w:t>
            </w:r>
            <w:proofErr w:type="gramEnd"/>
            <w:r w:rsidRPr="00562518">
              <w:rPr>
                <w:rFonts w:asciiTheme="minorEastAsia" w:eastAsiaTheme="minorEastAsia" w:hAnsiTheme="minorEastAsia"/>
                <w:color w:val="auto"/>
              </w:rPr>
              <w:t>年度</w:t>
            </w:r>
            <w:r w:rsidRPr="00562518">
              <w:rPr>
                <w:rFonts w:asciiTheme="minorEastAsia" w:eastAsiaTheme="minorEastAsia" w:hAnsiTheme="minorEastAsia" w:hint="eastAsia"/>
                <w:color w:val="auto"/>
              </w:rPr>
              <w:t>已</w:t>
            </w:r>
            <w:r w:rsidRPr="00562518">
              <w:rPr>
                <w:rFonts w:asciiTheme="minorEastAsia" w:eastAsiaTheme="minorEastAsia" w:hAnsiTheme="minorEastAsia"/>
                <w:color w:val="auto"/>
              </w:rPr>
              <w:t>執行槐花、防己、浮萍、</w:t>
            </w:r>
            <w:proofErr w:type="gramStart"/>
            <w:r w:rsidRPr="00562518">
              <w:rPr>
                <w:rFonts w:asciiTheme="minorEastAsia" w:eastAsiaTheme="minorEastAsia" w:hAnsiTheme="minorEastAsia"/>
                <w:color w:val="auto"/>
              </w:rPr>
              <w:t>蓽澄茄、</w:t>
            </w:r>
            <w:proofErr w:type="gramEnd"/>
            <w:r w:rsidRPr="00562518">
              <w:rPr>
                <w:rFonts w:asciiTheme="minorEastAsia" w:eastAsiaTheme="minorEastAsia" w:hAnsiTheme="minorEastAsia"/>
                <w:color w:val="auto"/>
              </w:rPr>
              <w:t>沙苑子、桂心、淡竹葉、</w:t>
            </w:r>
            <w:proofErr w:type="gramStart"/>
            <w:r w:rsidRPr="00562518">
              <w:rPr>
                <w:rFonts w:asciiTheme="minorEastAsia" w:eastAsiaTheme="minorEastAsia" w:hAnsiTheme="minorEastAsia"/>
                <w:color w:val="auto"/>
              </w:rPr>
              <w:t>蕤</w:t>
            </w:r>
            <w:proofErr w:type="gramEnd"/>
            <w:r w:rsidRPr="00562518">
              <w:rPr>
                <w:rFonts w:asciiTheme="minorEastAsia" w:eastAsiaTheme="minorEastAsia" w:hAnsiTheme="minorEastAsia"/>
                <w:color w:val="auto"/>
              </w:rPr>
              <w:t>仁、</w:t>
            </w:r>
            <w:proofErr w:type="gramStart"/>
            <w:r w:rsidRPr="00562518">
              <w:rPr>
                <w:rFonts w:asciiTheme="minorEastAsia" w:eastAsiaTheme="minorEastAsia" w:hAnsiTheme="minorEastAsia"/>
                <w:color w:val="auto"/>
              </w:rPr>
              <w:t>菥蓂</w:t>
            </w:r>
            <w:proofErr w:type="gramEnd"/>
            <w:r w:rsidRPr="00562518">
              <w:rPr>
                <w:rFonts w:asciiTheme="minorEastAsia" w:eastAsiaTheme="minorEastAsia" w:hAnsiTheme="minorEastAsia"/>
                <w:color w:val="auto"/>
              </w:rPr>
              <w:t>、八角蓮</w:t>
            </w:r>
            <w:r w:rsidRPr="00562518">
              <w:rPr>
                <w:rFonts w:asciiTheme="minorEastAsia" w:eastAsiaTheme="minorEastAsia" w:hAnsiTheme="minorEastAsia" w:hint="eastAsia"/>
                <w:color w:val="auto"/>
              </w:rPr>
              <w:t>等</w:t>
            </w:r>
            <w:r w:rsidRPr="00562518">
              <w:rPr>
                <w:rFonts w:asciiTheme="minorEastAsia" w:eastAsiaTheme="minorEastAsia" w:hAnsiTheme="minorEastAsia"/>
                <w:color w:val="auto"/>
              </w:rPr>
              <w:t>1</w:t>
            </w:r>
            <w:r w:rsidRPr="00562518">
              <w:rPr>
                <w:rFonts w:asciiTheme="minorEastAsia" w:eastAsiaTheme="minorEastAsia" w:hAnsiTheme="minorEastAsia" w:hint="eastAsia"/>
                <w:color w:val="auto"/>
              </w:rPr>
              <w:t>0</w:t>
            </w:r>
            <w:r w:rsidRPr="00562518">
              <w:rPr>
                <w:rFonts w:asciiTheme="minorEastAsia" w:eastAsiaTheme="minorEastAsia" w:hAnsiTheme="minorEastAsia"/>
                <w:color w:val="auto"/>
              </w:rPr>
              <w:t>個中藥材，</w:t>
            </w:r>
            <w:proofErr w:type="gramStart"/>
            <w:r w:rsidRPr="00562518">
              <w:rPr>
                <w:rFonts w:asciiTheme="minorEastAsia" w:eastAsiaTheme="minorEastAsia" w:hAnsiTheme="minorEastAsia"/>
                <w:color w:val="auto"/>
              </w:rPr>
              <w:t>104</w:t>
            </w:r>
            <w:proofErr w:type="gramEnd"/>
            <w:r w:rsidRPr="00562518">
              <w:rPr>
                <w:rFonts w:asciiTheme="minorEastAsia" w:eastAsiaTheme="minorEastAsia" w:hAnsiTheme="minorEastAsia"/>
                <w:color w:val="auto"/>
              </w:rPr>
              <w:t>年度</w:t>
            </w:r>
            <w:r w:rsidRPr="00562518">
              <w:rPr>
                <w:rFonts w:asciiTheme="minorEastAsia" w:eastAsiaTheme="minorEastAsia" w:hAnsiTheme="minorEastAsia" w:hint="eastAsia"/>
                <w:color w:val="auto"/>
              </w:rPr>
              <w:t>截至</w:t>
            </w:r>
            <w:r w:rsidR="00327880">
              <w:rPr>
                <w:rFonts w:asciiTheme="minorEastAsia" w:eastAsiaTheme="minorEastAsia" w:hAnsiTheme="minorEastAsia" w:hint="eastAsia"/>
                <w:color w:val="auto"/>
              </w:rPr>
              <w:t>7</w:t>
            </w:r>
            <w:r w:rsidRPr="00562518">
              <w:rPr>
                <w:rFonts w:asciiTheme="minorEastAsia" w:eastAsiaTheme="minorEastAsia" w:hAnsiTheme="minorEastAsia" w:hint="eastAsia"/>
                <w:color w:val="auto"/>
              </w:rPr>
              <w:t>月底前，已完成桂枝、</w:t>
            </w:r>
            <w:proofErr w:type="gramStart"/>
            <w:r w:rsidRPr="00562518">
              <w:rPr>
                <w:rFonts w:asciiTheme="minorEastAsia" w:eastAsiaTheme="minorEastAsia" w:hAnsiTheme="minorEastAsia" w:hint="eastAsia"/>
                <w:color w:val="auto"/>
              </w:rPr>
              <w:t>川牛膝</w:t>
            </w:r>
            <w:proofErr w:type="gramEnd"/>
            <w:r w:rsidRPr="00562518">
              <w:rPr>
                <w:rFonts w:asciiTheme="minorEastAsia" w:eastAsiaTheme="minorEastAsia" w:hAnsiTheme="minorEastAsia" w:hint="eastAsia"/>
                <w:color w:val="auto"/>
              </w:rPr>
              <w:t>、</w:t>
            </w:r>
            <w:proofErr w:type="gramStart"/>
            <w:r w:rsidRPr="00562518">
              <w:rPr>
                <w:rFonts w:asciiTheme="minorEastAsia" w:eastAsiaTheme="minorEastAsia" w:hAnsiTheme="minorEastAsia" w:hint="eastAsia"/>
                <w:color w:val="auto"/>
              </w:rPr>
              <w:t>卷柏、</w:t>
            </w:r>
            <w:proofErr w:type="gramEnd"/>
            <w:r w:rsidRPr="00562518">
              <w:rPr>
                <w:rFonts w:asciiTheme="minorEastAsia" w:eastAsiaTheme="minorEastAsia" w:hAnsiTheme="minorEastAsia" w:hint="eastAsia"/>
                <w:color w:val="auto"/>
              </w:rPr>
              <w:t>魚腥草、</w:t>
            </w:r>
            <w:proofErr w:type="gramStart"/>
            <w:r w:rsidRPr="00562518">
              <w:rPr>
                <w:rFonts w:asciiTheme="minorEastAsia" w:eastAsiaTheme="minorEastAsia" w:hAnsiTheme="minorEastAsia" w:hint="eastAsia"/>
                <w:color w:val="auto"/>
              </w:rPr>
              <w:t>槐角</w:t>
            </w:r>
            <w:proofErr w:type="gramEnd"/>
            <w:r w:rsidRPr="00562518">
              <w:rPr>
                <w:rFonts w:asciiTheme="minorEastAsia" w:eastAsiaTheme="minorEastAsia" w:hAnsiTheme="minorEastAsia" w:hint="eastAsia"/>
                <w:color w:val="auto"/>
              </w:rPr>
              <w:t>、川貝母、</w:t>
            </w:r>
            <w:proofErr w:type="gramStart"/>
            <w:r w:rsidRPr="00562518">
              <w:rPr>
                <w:rFonts w:asciiTheme="minorEastAsia" w:eastAsiaTheme="minorEastAsia" w:hAnsiTheme="minorEastAsia" w:hint="eastAsia"/>
                <w:color w:val="auto"/>
              </w:rPr>
              <w:t>穀精草</w:t>
            </w:r>
            <w:proofErr w:type="gramEnd"/>
            <w:r w:rsidRPr="00562518">
              <w:rPr>
                <w:rFonts w:asciiTheme="minorEastAsia" w:eastAsiaTheme="minorEastAsia" w:hAnsiTheme="minorEastAsia" w:hint="eastAsia"/>
                <w:color w:val="auto"/>
              </w:rPr>
              <w:t>、防風、八角茴香、小茴香、</w:t>
            </w:r>
            <w:proofErr w:type="gramStart"/>
            <w:r w:rsidRPr="00562518">
              <w:rPr>
                <w:rFonts w:asciiTheme="minorEastAsia" w:eastAsiaTheme="minorEastAsia" w:hAnsiTheme="minorEastAsia" w:hint="eastAsia"/>
                <w:color w:val="auto"/>
              </w:rPr>
              <w:t>乾薑等</w:t>
            </w:r>
            <w:proofErr w:type="gramEnd"/>
            <w:r w:rsidRPr="00562518">
              <w:rPr>
                <w:rFonts w:asciiTheme="minorEastAsia" w:eastAsiaTheme="minorEastAsia" w:hAnsiTheme="minorEastAsia" w:hint="eastAsia"/>
                <w:color w:val="auto"/>
              </w:rPr>
              <w:t>11項中藥材。</w:t>
            </w:r>
            <w:proofErr w:type="gramStart"/>
            <w:r w:rsidRPr="00562518">
              <w:rPr>
                <w:rFonts w:asciiTheme="minorEastAsia" w:eastAsiaTheme="minorEastAsia" w:hAnsiTheme="minorEastAsia"/>
                <w:color w:val="auto"/>
              </w:rPr>
              <w:t>104</w:t>
            </w:r>
            <w:proofErr w:type="gramEnd"/>
            <w:r w:rsidRPr="00562518">
              <w:rPr>
                <w:rFonts w:asciiTheme="minorEastAsia" w:eastAsiaTheme="minorEastAsia" w:hAnsiTheme="minorEastAsia"/>
                <w:color w:val="auto"/>
              </w:rPr>
              <w:t>年度</w:t>
            </w:r>
            <w:r w:rsidRPr="00562518">
              <w:rPr>
                <w:rFonts w:asciiTheme="minorEastAsia" w:eastAsiaTheme="minorEastAsia" w:hAnsiTheme="minorEastAsia" w:hint="eastAsia"/>
                <w:color w:val="auto"/>
              </w:rPr>
              <w:t>另</w:t>
            </w:r>
            <w:r w:rsidRPr="00562518">
              <w:rPr>
                <w:rFonts w:asciiTheme="minorEastAsia" w:eastAsiaTheme="minorEastAsia" w:hAnsiTheme="minorEastAsia"/>
                <w:color w:val="auto"/>
              </w:rPr>
              <w:t>規劃</w:t>
            </w:r>
            <w:proofErr w:type="gramStart"/>
            <w:r w:rsidRPr="00562518">
              <w:rPr>
                <w:rFonts w:asciiTheme="minorEastAsia" w:eastAsiaTheme="minorEastAsia" w:hAnsiTheme="minorEastAsia"/>
                <w:color w:val="auto"/>
              </w:rPr>
              <w:t>執</w:t>
            </w:r>
            <w:r w:rsidRPr="00562518">
              <w:rPr>
                <w:rFonts w:asciiTheme="minorEastAsia" w:eastAsiaTheme="minorEastAsia" w:hAnsiTheme="minorEastAsia"/>
                <w:color w:val="auto"/>
              </w:rPr>
              <w:lastRenderedPageBreak/>
              <w:t>行</w:t>
            </w:r>
            <w:r w:rsidRPr="00562518">
              <w:rPr>
                <w:rFonts w:asciiTheme="minorEastAsia" w:eastAsiaTheme="minorEastAsia" w:hAnsiTheme="minorEastAsia" w:hint="eastAsia"/>
                <w:color w:val="auto"/>
              </w:rPr>
              <w:t>敗醬</w:t>
            </w:r>
            <w:proofErr w:type="gramEnd"/>
            <w:r w:rsidRPr="00562518">
              <w:rPr>
                <w:rFonts w:asciiTheme="minorEastAsia" w:eastAsiaTheme="minorEastAsia" w:hAnsiTheme="minorEastAsia" w:hint="eastAsia"/>
                <w:color w:val="auto"/>
              </w:rPr>
              <w:t>、路路通、荊芥、大</w:t>
            </w:r>
            <w:proofErr w:type="gramStart"/>
            <w:r w:rsidRPr="00562518">
              <w:rPr>
                <w:rFonts w:asciiTheme="minorEastAsia" w:eastAsiaTheme="minorEastAsia" w:hAnsiTheme="minorEastAsia" w:hint="eastAsia"/>
                <w:color w:val="auto"/>
              </w:rPr>
              <w:t>薊</w:t>
            </w:r>
            <w:proofErr w:type="gramEnd"/>
            <w:r w:rsidRPr="00562518">
              <w:rPr>
                <w:rFonts w:asciiTheme="minorEastAsia" w:eastAsiaTheme="minorEastAsia" w:hAnsiTheme="minorEastAsia" w:hint="eastAsia"/>
                <w:color w:val="auto"/>
              </w:rPr>
              <w:t>、</w:t>
            </w:r>
            <w:proofErr w:type="gramStart"/>
            <w:r w:rsidRPr="00562518">
              <w:rPr>
                <w:rFonts w:asciiTheme="minorEastAsia" w:eastAsiaTheme="minorEastAsia" w:hAnsiTheme="minorEastAsia" w:hint="eastAsia"/>
                <w:color w:val="auto"/>
              </w:rPr>
              <w:t>懷牛膝</w:t>
            </w:r>
            <w:proofErr w:type="gramEnd"/>
            <w:r w:rsidRPr="00562518">
              <w:rPr>
                <w:rFonts w:asciiTheme="minorEastAsia" w:eastAsiaTheme="minorEastAsia" w:hAnsiTheme="minorEastAsia" w:hint="eastAsia"/>
                <w:color w:val="auto"/>
              </w:rPr>
              <w:t>、茯苓、荷葉、</w:t>
            </w:r>
            <w:proofErr w:type="gramStart"/>
            <w:r w:rsidRPr="00562518">
              <w:rPr>
                <w:rFonts w:asciiTheme="minorEastAsia" w:eastAsiaTheme="minorEastAsia" w:hAnsiTheme="minorEastAsia" w:hint="eastAsia"/>
                <w:color w:val="auto"/>
              </w:rPr>
              <w:t>莪朮</w:t>
            </w:r>
            <w:proofErr w:type="gramEnd"/>
            <w:r w:rsidRPr="00562518">
              <w:rPr>
                <w:rFonts w:asciiTheme="minorEastAsia" w:eastAsiaTheme="minorEastAsia" w:hAnsiTheme="minorEastAsia" w:hint="eastAsia"/>
                <w:color w:val="auto"/>
              </w:rPr>
              <w:t>、天南星</w:t>
            </w:r>
            <w:r w:rsidRPr="00562518">
              <w:rPr>
                <w:rFonts w:asciiTheme="minorEastAsia" w:eastAsiaTheme="minorEastAsia" w:hAnsiTheme="minorEastAsia"/>
                <w:color w:val="auto"/>
              </w:rPr>
              <w:t>等</w:t>
            </w:r>
            <w:r w:rsidRPr="00562518">
              <w:rPr>
                <w:rFonts w:asciiTheme="minorEastAsia" w:eastAsiaTheme="minorEastAsia" w:hAnsiTheme="minorEastAsia" w:hint="eastAsia"/>
                <w:color w:val="auto"/>
              </w:rPr>
              <w:t>9</w:t>
            </w:r>
            <w:r w:rsidRPr="00562518">
              <w:rPr>
                <w:rFonts w:asciiTheme="minorEastAsia" w:eastAsiaTheme="minorEastAsia" w:hAnsiTheme="minorEastAsia"/>
                <w:color w:val="auto"/>
              </w:rPr>
              <w:t>種中藥材。</w:t>
            </w:r>
          </w:p>
          <w:p w:rsidR="00562518" w:rsidRPr="00562518" w:rsidRDefault="00562518" w:rsidP="00562518">
            <w:pPr>
              <w:pStyle w:val="23"/>
              <w:numPr>
                <w:ilvl w:val="0"/>
                <w:numId w:val="7"/>
              </w:numPr>
              <w:rPr>
                <w:rFonts w:asciiTheme="minorEastAsia" w:eastAsiaTheme="minorEastAsia" w:hAnsiTheme="minorEastAsia"/>
                <w:color w:val="auto"/>
              </w:rPr>
            </w:pPr>
            <w:r w:rsidRPr="00562518">
              <w:rPr>
                <w:rFonts w:asciiTheme="minorEastAsia" w:eastAsiaTheme="minorEastAsia" w:hAnsiTheme="minorEastAsia"/>
                <w:color w:val="auto"/>
              </w:rPr>
              <w:t>為完成上述目標，須有相對的儀器設備配合，</w:t>
            </w:r>
            <w:proofErr w:type="gramStart"/>
            <w:r w:rsidRPr="00562518">
              <w:rPr>
                <w:rFonts w:asciiTheme="minorEastAsia" w:eastAsiaTheme="minorEastAsia" w:hAnsiTheme="minorEastAsia"/>
                <w:color w:val="auto"/>
              </w:rPr>
              <w:t>104</w:t>
            </w:r>
            <w:proofErr w:type="gramEnd"/>
            <w:r w:rsidRPr="00562518">
              <w:rPr>
                <w:rFonts w:asciiTheme="minorEastAsia" w:eastAsiaTheme="minorEastAsia" w:hAnsiTheme="minorEastAsia"/>
                <w:color w:val="auto"/>
              </w:rPr>
              <w:t>年度已購置高效液相層析儀1</w:t>
            </w:r>
            <w:r w:rsidRPr="00562518">
              <w:rPr>
                <w:rFonts w:asciiTheme="minorEastAsia" w:eastAsiaTheme="minorEastAsia" w:hAnsiTheme="minorEastAsia" w:hint="eastAsia"/>
                <w:color w:val="auto"/>
              </w:rPr>
              <w:t>套(</w:t>
            </w:r>
            <w:r w:rsidRPr="00562518">
              <w:rPr>
                <w:rFonts w:asciiTheme="minorEastAsia" w:eastAsiaTheme="minorEastAsia" w:hAnsiTheme="minorEastAsia"/>
                <w:color w:val="auto"/>
              </w:rPr>
              <w:t>搭配紫外光與蒸發</w:t>
            </w:r>
            <w:proofErr w:type="gramStart"/>
            <w:r w:rsidRPr="00562518">
              <w:rPr>
                <w:rFonts w:asciiTheme="minorEastAsia" w:eastAsiaTheme="minorEastAsia" w:hAnsiTheme="minorEastAsia"/>
                <w:color w:val="auto"/>
              </w:rPr>
              <w:t>光散色</w:t>
            </w:r>
            <w:proofErr w:type="gramEnd"/>
            <w:r w:rsidRPr="00562518">
              <w:rPr>
                <w:rFonts w:asciiTheme="minorEastAsia" w:eastAsiaTheme="minorEastAsia" w:hAnsiTheme="minorEastAsia"/>
                <w:color w:val="auto"/>
              </w:rPr>
              <w:t>檢測器</w:t>
            </w:r>
            <w:r w:rsidRPr="00562518">
              <w:rPr>
                <w:rFonts w:asciiTheme="minorEastAsia" w:eastAsiaTheme="minorEastAsia" w:hAnsiTheme="minorEastAsia" w:hint="eastAsia"/>
                <w:color w:val="auto"/>
              </w:rPr>
              <w:t>)244萬5千元、薄層層析半自動</w:t>
            </w:r>
            <w:proofErr w:type="gramStart"/>
            <w:r w:rsidRPr="00562518">
              <w:rPr>
                <w:rFonts w:asciiTheme="minorEastAsia" w:eastAsiaTheme="minorEastAsia" w:hAnsiTheme="minorEastAsia" w:hint="eastAsia"/>
                <w:color w:val="auto"/>
              </w:rPr>
              <w:t>點樣器</w:t>
            </w:r>
            <w:proofErr w:type="gramEnd"/>
            <w:r w:rsidRPr="00562518">
              <w:rPr>
                <w:rFonts w:asciiTheme="minorEastAsia" w:eastAsiaTheme="minorEastAsia" w:hAnsiTheme="minorEastAsia"/>
                <w:color w:val="auto"/>
              </w:rPr>
              <w:t>1</w:t>
            </w:r>
            <w:r w:rsidRPr="00562518">
              <w:rPr>
                <w:rFonts w:asciiTheme="minorEastAsia" w:eastAsiaTheme="minorEastAsia" w:hAnsiTheme="minorEastAsia" w:hint="eastAsia"/>
                <w:color w:val="auto"/>
              </w:rPr>
              <w:t>台43萬9千元、紅外線光譜儀</w:t>
            </w:r>
            <w:r w:rsidRPr="00562518">
              <w:rPr>
                <w:rFonts w:asciiTheme="minorEastAsia" w:eastAsiaTheme="minorEastAsia" w:hAnsiTheme="minorEastAsia"/>
                <w:color w:val="auto"/>
              </w:rPr>
              <w:t>1</w:t>
            </w:r>
            <w:r w:rsidRPr="00562518">
              <w:rPr>
                <w:rFonts w:asciiTheme="minorEastAsia" w:eastAsiaTheme="minorEastAsia" w:hAnsiTheme="minorEastAsia" w:hint="eastAsia"/>
                <w:color w:val="auto"/>
              </w:rPr>
              <w:t>台</w:t>
            </w:r>
            <w:r w:rsidR="00027B5B">
              <w:rPr>
                <w:rFonts w:asciiTheme="minorEastAsia" w:eastAsiaTheme="minorEastAsia" w:hAnsiTheme="minorEastAsia" w:hint="eastAsia"/>
                <w:color w:val="auto"/>
              </w:rPr>
              <w:t>68</w:t>
            </w:r>
            <w:r w:rsidRPr="00562518">
              <w:rPr>
                <w:rFonts w:asciiTheme="minorEastAsia" w:eastAsiaTheme="minorEastAsia" w:hAnsiTheme="minorEastAsia" w:hint="eastAsia"/>
                <w:color w:val="auto"/>
              </w:rPr>
              <w:t>萬、負</w:t>
            </w:r>
            <w:r w:rsidRPr="00562518">
              <w:rPr>
                <w:rFonts w:asciiTheme="minorEastAsia" w:eastAsiaTheme="minorEastAsia" w:hAnsiTheme="minorEastAsia"/>
                <w:color w:val="auto"/>
              </w:rPr>
              <w:t>8</w:t>
            </w:r>
            <w:r w:rsidRPr="00562518">
              <w:rPr>
                <w:rFonts w:asciiTheme="minorEastAsia" w:eastAsiaTheme="minorEastAsia" w:hAnsiTheme="minorEastAsia" w:hint="eastAsia"/>
                <w:color w:val="auto"/>
              </w:rPr>
              <w:t>0度冰箱</w:t>
            </w:r>
            <w:r w:rsidRPr="00562518">
              <w:rPr>
                <w:rFonts w:asciiTheme="minorEastAsia" w:eastAsiaTheme="minorEastAsia" w:hAnsiTheme="minorEastAsia"/>
                <w:color w:val="auto"/>
              </w:rPr>
              <w:t>1</w:t>
            </w:r>
            <w:r w:rsidRPr="00562518">
              <w:rPr>
                <w:rFonts w:asciiTheme="minorEastAsia" w:eastAsiaTheme="minorEastAsia" w:hAnsiTheme="minorEastAsia" w:hint="eastAsia"/>
                <w:color w:val="auto"/>
              </w:rPr>
              <w:t>台21萬9千元，另</w:t>
            </w:r>
            <w:proofErr w:type="gramStart"/>
            <w:r w:rsidRPr="00562518">
              <w:rPr>
                <w:rFonts w:asciiTheme="minorEastAsia" w:eastAsiaTheme="minorEastAsia" w:hAnsiTheme="minorEastAsia" w:hint="eastAsia"/>
                <w:color w:val="auto"/>
              </w:rPr>
              <w:t>規</w:t>
            </w:r>
            <w:proofErr w:type="gramEnd"/>
            <w:r w:rsidRPr="00562518">
              <w:rPr>
                <w:rFonts w:asciiTheme="minorEastAsia" w:eastAsiaTheme="minorEastAsia" w:hAnsiTheme="minorEastAsia" w:hint="eastAsia"/>
                <w:color w:val="auto"/>
              </w:rPr>
              <w:t>畫</w:t>
            </w:r>
            <w:r w:rsidRPr="00562518">
              <w:rPr>
                <w:rFonts w:asciiTheme="minorEastAsia" w:eastAsiaTheme="minorEastAsia" w:hAnsiTheme="minorEastAsia"/>
                <w:color w:val="auto"/>
              </w:rPr>
              <w:t>購置</w:t>
            </w:r>
            <w:r w:rsidRPr="00562518">
              <w:rPr>
                <w:rFonts w:asciiTheme="minorEastAsia" w:eastAsiaTheme="minorEastAsia" w:hAnsiTheme="minorEastAsia" w:hint="eastAsia"/>
                <w:color w:val="auto"/>
              </w:rPr>
              <w:t>其他小型儀器共</w:t>
            </w:r>
            <w:r w:rsidR="00027B5B">
              <w:rPr>
                <w:rFonts w:asciiTheme="minorEastAsia" w:eastAsiaTheme="minorEastAsia" w:hAnsiTheme="minorEastAsia" w:hint="eastAsia"/>
                <w:color w:val="auto"/>
              </w:rPr>
              <w:t>72</w:t>
            </w:r>
            <w:r w:rsidRPr="00562518">
              <w:rPr>
                <w:rFonts w:asciiTheme="minorEastAsia" w:eastAsiaTheme="minorEastAsia" w:hAnsiTheme="minorEastAsia" w:hint="eastAsia"/>
                <w:color w:val="auto"/>
              </w:rPr>
              <w:t>萬</w:t>
            </w:r>
            <w:r w:rsidR="00027B5B">
              <w:rPr>
                <w:rFonts w:asciiTheme="minorEastAsia" w:eastAsiaTheme="minorEastAsia" w:hAnsiTheme="minorEastAsia" w:hint="eastAsia"/>
                <w:color w:val="auto"/>
              </w:rPr>
              <w:t>7千</w:t>
            </w:r>
            <w:r w:rsidRPr="00562518">
              <w:rPr>
                <w:rFonts w:asciiTheme="minorEastAsia" w:eastAsiaTheme="minorEastAsia" w:hAnsiTheme="minorEastAsia" w:hint="eastAsia"/>
                <w:color w:val="auto"/>
              </w:rPr>
              <w:t>元</w:t>
            </w:r>
            <w:r w:rsidRPr="00562518">
              <w:rPr>
                <w:rFonts w:asciiTheme="minorEastAsia" w:eastAsiaTheme="minorEastAsia" w:hAnsiTheme="minorEastAsia"/>
                <w:color w:val="auto"/>
              </w:rPr>
              <w:t>，合計451萬元。</w:t>
            </w:r>
          </w:p>
          <w:p w:rsidR="00562518" w:rsidRPr="00562518" w:rsidRDefault="00562518" w:rsidP="00E501D5">
            <w:pPr>
              <w:pStyle w:val="23"/>
              <w:numPr>
                <w:ilvl w:val="0"/>
                <w:numId w:val="7"/>
              </w:numPr>
              <w:rPr>
                <w:rFonts w:asciiTheme="minorEastAsia" w:eastAsiaTheme="minorEastAsia" w:hAnsiTheme="minorEastAsia"/>
                <w:color w:val="auto"/>
              </w:rPr>
            </w:pPr>
            <w:proofErr w:type="gramStart"/>
            <w:r w:rsidRPr="00562518">
              <w:rPr>
                <w:rFonts w:asciiTheme="minorEastAsia" w:eastAsiaTheme="minorEastAsia" w:hAnsiTheme="minorEastAsia" w:hint="eastAsia"/>
                <w:color w:val="auto"/>
              </w:rPr>
              <w:t>本</w:t>
            </w:r>
            <w:r w:rsidRPr="00562518">
              <w:rPr>
                <w:rFonts w:asciiTheme="minorEastAsia" w:eastAsiaTheme="minorEastAsia" w:hAnsiTheme="minorEastAsia"/>
                <w:color w:val="auto"/>
              </w:rPr>
              <w:t>所</w:t>
            </w:r>
            <w:r w:rsidRPr="00562518">
              <w:rPr>
                <w:rFonts w:asciiTheme="minorEastAsia" w:eastAsiaTheme="minorEastAsia" w:hAnsiTheme="minorEastAsia" w:hint="eastAsia"/>
                <w:color w:val="auto"/>
              </w:rPr>
              <w:t>業</w:t>
            </w:r>
            <w:r w:rsidRPr="00562518">
              <w:rPr>
                <w:rFonts w:asciiTheme="minorEastAsia" w:eastAsiaTheme="minorEastAsia" w:hAnsiTheme="minorEastAsia"/>
                <w:color w:val="auto"/>
              </w:rPr>
              <w:t>於</w:t>
            </w:r>
            <w:proofErr w:type="gramEnd"/>
            <w:r w:rsidRPr="00562518">
              <w:rPr>
                <w:rFonts w:asciiTheme="minorEastAsia" w:eastAsiaTheme="minorEastAsia" w:hAnsiTheme="minorEastAsia"/>
                <w:color w:val="auto"/>
              </w:rPr>
              <w:t>103年底召開科技計畫成果審查會議，</w:t>
            </w:r>
            <w:r w:rsidRPr="00562518">
              <w:rPr>
                <w:rFonts w:asciiTheme="minorEastAsia" w:eastAsiaTheme="minorEastAsia" w:hAnsiTheme="minorEastAsia" w:hint="eastAsia"/>
                <w:color w:val="auto"/>
              </w:rPr>
              <w:t>並</w:t>
            </w:r>
            <w:r w:rsidRPr="00562518">
              <w:rPr>
                <w:rFonts w:asciiTheme="minorEastAsia" w:eastAsiaTheme="minorEastAsia" w:hAnsiTheme="minorEastAsia"/>
                <w:color w:val="auto"/>
              </w:rPr>
              <w:t>於104年3月底彙編完成「科技發展計畫成果暨績效報告」</w:t>
            </w:r>
            <w:r w:rsidRPr="00562518">
              <w:rPr>
                <w:rFonts w:asciiTheme="minorEastAsia" w:eastAsiaTheme="minorEastAsia" w:hAnsiTheme="minorEastAsia" w:hint="eastAsia"/>
                <w:color w:val="auto"/>
              </w:rPr>
              <w:t>報請衛</w:t>
            </w:r>
            <w:r w:rsidR="00E501D5">
              <w:rPr>
                <w:rFonts w:asciiTheme="minorEastAsia" w:eastAsiaTheme="minorEastAsia" w:hAnsiTheme="minorEastAsia" w:hint="eastAsia"/>
                <w:color w:val="auto"/>
              </w:rPr>
              <w:t>生</w:t>
            </w:r>
            <w:r w:rsidRPr="00562518">
              <w:rPr>
                <w:rFonts w:asciiTheme="minorEastAsia" w:eastAsiaTheme="minorEastAsia" w:hAnsiTheme="minorEastAsia" w:hint="eastAsia"/>
                <w:color w:val="auto"/>
              </w:rPr>
              <w:t>福</w:t>
            </w:r>
            <w:r w:rsidR="00E501D5">
              <w:rPr>
                <w:rFonts w:asciiTheme="minorEastAsia" w:eastAsiaTheme="minorEastAsia" w:hAnsiTheme="minorEastAsia" w:hint="eastAsia"/>
                <w:color w:val="auto"/>
              </w:rPr>
              <w:t>利</w:t>
            </w:r>
            <w:r w:rsidRPr="00562518">
              <w:rPr>
                <w:rFonts w:asciiTheme="minorEastAsia" w:eastAsiaTheme="minorEastAsia" w:hAnsiTheme="minorEastAsia" w:hint="eastAsia"/>
                <w:color w:val="auto"/>
              </w:rPr>
              <w:t>部備查</w:t>
            </w:r>
            <w:r w:rsidRPr="00562518">
              <w:rPr>
                <w:rFonts w:asciiTheme="minorEastAsia" w:eastAsiaTheme="minorEastAsia" w:hAnsiTheme="minorEastAsia"/>
                <w:color w:val="auto"/>
              </w:rPr>
              <w:t>，提送</w:t>
            </w:r>
            <w:r w:rsidRPr="00562518">
              <w:rPr>
                <w:rFonts w:asciiTheme="minorEastAsia" w:eastAsiaTheme="minorEastAsia" w:hAnsiTheme="minorEastAsia" w:hint="eastAsia"/>
                <w:color w:val="auto"/>
              </w:rPr>
              <w:t>國會</w:t>
            </w:r>
            <w:r w:rsidRPr="00562518">
              <w:rPr>
                <w:rFonts w:asciiTheme="minorEastAsia" w:eastAsiaTheme="minorEastAsia" w:hAnsiTheme="minorEastAsia"/>
                <w:color w:val="auto"/>
              </w:rPr>
              <w:t>參考。</w:t>
            </w:r>
            <w:r w:rsidRPr="00562518">
              <w:rPr>
                <w:rFonts w:asciiTheme="minorEastAsia" w:eastAsiaTheme="minorEastAsia" w:hAnsiTheme="minorEastAsia" w:hint="eastAsia"/>
                <w:color w:val="auto"/>
              </w:rPr>
              <w:t>另</w:t>
            </w:r>
            <w:r w:rsidRPr="00562518">
              <w:rPr>
                <w:rFonts w:asciiTheme="minorEastAsia" w:eastAsiaTheme="minorEastAsia" w:hAnsiTheme="minorEastAsia"/>
                <w:color w:val="auto"/>
              </w:rPr>
              <w:t>於</w:t>
            </w:r>
            <w:r w:rsidR="00E501D5">
              <w:rPr>
                <w:rFonts w:asciiTheme="minorEastAsia" w:eastAsiaTheme="minorEastAsia" w:hAnsiTheme="minorEastAsia" w:hint="eastAsia"/>
                <w:color w:val="auto"/>
              </w:rPr>
              <w:t>104</w:t>
            </w:r>
            <w:r w:rsidRPr="00562518">
              <w:rPr>
                <w:rFonts w:asciiTheme="minorEastAsia" w:eastAsiaTheme="minorEastAsia" w:hAnsiTheme="minorEastAsia" w:cs="Times New Roman"/>
                <w:color w:val="auto"/>
              </w:rPr>
              <w:t>年</w:t>
            </w:r>
            <w:r w:rsidR="00E501D5">
              <w:rPr>
                <w:rFonts w:asciiTheme="minorEastAsia" w:eastAsiaTheme="minorEastAsia" w:hAnsiTheme="minorEastAsia" w:cs="Times New Roman" w:hint="eastAsia"/>
                <w:color w:val="auto"/>
              </w:rPr>
              <w:t>6</w:t>
            </w:r>
            <w:r w:rsidRPr="00562518">
              <w:rPr>
                <w:rFonts w:asciiTheme="minorEastAsia" w:eastAsiaTheme="minorEastAsia" w:hAnsiTheme="minorEastAsia" w:cs="Times New Roman" w:hint="eastAsia"/>
                <w:color w:val="auto"/>
              </w:rPr>
              <w:t>月</w:t>
            </w:r>
            <w:r w:rsidR="00E501D5">
              <w:rPr>
                <w:rFonts w:asciiTheme="minorEastAsia" w:eastAsiaTheme="minorEastAsia" w:hAnsiTheme="minorEastAsia" w:cs="Times New Roman" w:hint="eastAsia"/>
                <w:color w:val="auto"/>
              </w:rPr>
              <w:t>26</w:t>
            </w:r>
            <w:r w:rsidRPr="00562518">
              <w:rPr>
                <w:rFonts w:asciiTheme="minorEastAsia" w:eastAsiaTheme="minorEastAsia" w:hAnsiTheme="minorEastAsia" w:cs="Times New Roman" w:hint="eastAsia"/>
                <w:color w:val="auto"/>
              </w:rPr>
              <w:t>日完成</w:t>
            </w:r>
            <w:proofErr w:type="gramStart"/>
            <w:r w:rsidRPr="00562518">
              <w:rPr>
                <w:rFonts w:asciiTheme="minorEastAsia" w:eastAsiaTheme="minorEastAsia" w:hAnsiTheme="minorEastAsia" w:cs="Times New Roman" w:hint="eastAsia"/>
                <w:color w:val="auto"/>
              </w:rPr>
              <w:t>104</w:t>
            </w:r>
            <w:proofErr w:type="gramEnd"/>
            <w:r w:rsidRPr="00562518">
              <w:rPr>
                <w:rFonts w:asciiTheme="minorEastAsia" w:eastAsiaTheme="minorEastAsia" w:hAnsiTheme="minorEastAsia" w:cs="Times New Roman" w:hint="eastAsia"/>
                <w:color w:val="auto"/>
              </w:rPr>
              <w:t>年</w:t>
            </w:r>
            <w:r w:rsidRPr="00562518">
              <w:rPr>
                <w:rFonts w:asciiTheme="minorEastAsia" w:eastAsiaTheme="minorEastAsia" w:hAnsiTheme="minorEastAsia" w:cs="Times New Roman"/>
                <w:color w:val="auto"/>
              </w:rPr>
              <w:t>度科技計畫期中報告專家審查會議</w:t>
            </w:r>
            <w:r w:rsidRPr="00562518">
              <w:rPr>
                <w:rFonts w:asciiTheme="minorEastAsia" w:eastAsiaTheme="minorEastAsia" w:hAnsiTheme="minorEastAsia" w:cs="Times New Roman" w:hint="eastAsia"/>
                <w:bCs/>
                <w:color w:val="auto"/>
              </w:rPr>
              <w:t>。</w:t>
            </w:r>
          </w:p>
        </w:tc>
      </w:tr>
      <w:tr w:rsidR="00437655" w:rsidRPr="000B6440" w:rsidTr="00CF3C6B">
        <w:trPr>
          <w:trHeight w:val="332"/>
        </w:trPr>
        <w:tc>
          <w:tcPr>
            <w:tcW w:w="1044" w:type="dxa"/>
            <w:shd w:val="clear" w:color="auto" w:fill="auto"/>
          </w:tcPr>
          <w:p w:rsidR="00437655" w:rsidRPr="000B6440" w:rsidRDefault="00437655" w:rsidP="00CF3C6B">
            <w:pPr>
              <w:spacing w:line="360" w:lineRule="exact"/>
              <w:jc w:val="center"/>
              <w:rPr>
                <w:rFonts w:asciiTheme="minorEastAsia" w:eastAsiaTheme="minorEastAsia" w:hAnsiTheme="minorEastAsia" w:cs="Arial"/>
                <w:snapToGrid w:val="0"/>
                <w:kern w:val="0"/>
                <w:sz w:val="20"/>
                <w:szCs w:val="20"/>
              </w:rPr>
            </w:pPr>
            <w:r w:rsidRPr="000B6440">
              <w:rPr>
                <w:rFonts w:asciiTheme="minorEastAsia" w:eastAsiaTheme="minorEastAsia" w:hAnsiTheme="minorEastAsia" w:cs="Arial"/>
                <w:snapToGrid w:val="0"/>
                <w:kern w:val="0"/>
                <w:sz w:val="20"/>
                <w:szCs w:val="20"/>
              </w:rPr>
              <w:lastRenderedPageBreak/>
              <w:t>(二)</w:t>
            </w:r>
          </w:p>
          <w:p w:rsidR="00437655" w:rsidRPr="000B6440" w:rsidRDefault="00437655" w:rsidP="00CF3C6B">
            <w:pPr>
              <w:spacing w:line="360" w:lineRule="exact"/>
              <w:jc w:val="center"/>
              <w:rPr>
                <w:rFonts w:asciiTheme="minorEastAsia" w:eastAsiaTheme="minorEastAsia" w:hAnsiTheme="minorEastAsia" w:cs="Arial"/>
                <w:snapToGrid w:val="0"/>
                <w:kern w:val="0"/>
                <w:sz w:val="20"/>
                <w:szCs w:val="20"/>
              </w:rPr>
            </w:pPr>
          </w:p>
        </w:tc>
        <w:tc>
          <w:tcPr>
            <w:tcW w:w="4683" w:type="dxa"/>
            <w:shd w:val="clear" w:color="auto" w:fill="auto"/>
          </w:tcPr>
          <w:p w:rsidR="00437655" w:rsidRPr="000B6440" w:rsidRDefault="00437655" w:rsidP="00CF3C6B">
            <w:pPr>
              <w:pStyle w:val="23"/>
              <w:rPr>
                <w:rFonts w:asciiTheme="minorEastAsia" w:eastAsiaTheme="minorEastAsia" w:hAnsiTheme="minorEastAsia"/>
                <w:color w:val="auto"/>
              </w:rPr>
            </w:pPr>
            <w:r w:rsidRPr="000B6440">
              <w:rPr>
                <w:rFonts w:asciiTheme="minorEastAsia" w:eastAsiaTheme="minorEastAsia" w:hAnsiTheme="minorEastAsia" w:hint="eastAsia"/>
                <w:color w:val="auto"/>
              </w:rPr>
              <w:t>有關「固有成方」乃醫藥古書典籍所記載，但非都是安全無虞，國家中醫藥研究所肩負中醫藥研究、實驗及業務發展，</w:t>
            </w:r>
            <w:proofErr w:type="gramStart"/>
            <w:r w:rsidRPr="000B6440">
              <w:rPr>
                <w:rFonts w:asciiTheme="minorEastAsia" w:eastAsiaTheme="minorEastAsia" w:hAnsiTheme="minorEastAsia" w:hint="eastAsia"/>
                <w:color w:val="auto"/>
              </w:rPr>
              <w:t>爰</w:t>
            </w:r>
            <w:proofErr w:type="gramEnd"/>
            <w:r w:rsidRPr="000B6440">
              <w:rPr>
                <w:rFonts w:asciiTheme="minorEastAsia" w:eastAsiaTheme="minorEastAsia" w:hAnsiTheme="minorEastAsia" w:hint="eastAsia"/>
                <w:color w:val="auto"/>
              </w:rPr>
              <w:t>此，請該所針對『固有成方』之安全性進行相關研究並提供專業意見，降低各界疑慮，另配合衛生福利部衛生醫療政策，推動中醫藥之臨床實證研究，確保中藥用藥安全與良效，藉由中藥複方、中西藥交互作用，例如：心血管疾病常用藥進行研究，以協助並</w:t>
            </w:r>
            <w:proofErr w:type="gramStart"/>
            <w:r w:rsidRPr="000B6440">
              <w:rPr>
                <w:rFonts w:asciiTheme="minorEastAsia" w:eastAsiaTheme="minorEastAsia" w:hAnsiTheme="minorEastAsia" w:hint="eastAsia"/>
                <w:color w:val="auto"/>
              </w:rPr>
              <w:t>釐</w:t>
            </w:r>
            <w:proofErr w:type="gramEnd"/>
            <w:r w:rsidRPr="000B6440">
              <w:rPr>
                <w:rFonts w:asciiTheme="minorEastAsia" w:eastAsiaTheme="minorEastAsia" w:hAnsiTheme="minorEastAsia" w:hint="eastAsia"/>
                <w:color w:val="auto"/>
              </w:rPr>
              <w:t>清用藥安全並提供專業意見。</w:t>
            </w:r>
          </w:p>
          <w:p w:rsidR="00437655" w:rsidRPr="000B6440" w:rsidRDefault="00437655" w:rsidP="00437655">
            <w:pPr>
              <w:pStyle w:val="23"/>
              <w:ind w:firstLineChars="200" w:firstLine="400"/>
              <w:rPr>
                <w:rFonts w:asciiTheme="minorEastAsia" w:eastAsiaTheme="minorEastAsia" w:hAnsiTheme="minorEastAsia"/>
                <w:color w:val="auto"/>
              </w:rPr>
            </w:pPr>
          </w:p>
        </w:tc>
        <w:tc>
          <w:tcPr>
            <w:tcW w:w="4366" w:type="dxa"/>
            <w:shd w:val="clear" w:color="auto" w:fill="auto"/>
          </w:tcPr>
          <w:p w:rsidR="00437655" w:rsidRPr="000B6440" w:rsidRDefault="00437655" w:rsidP="00437655">
            <w:pPr>
              <w:pStyle w:val="23"/>
              <w:numPr>
                <w:ilvl w:val="0"/>
                <w:numId w:val="8"/>
              </w:numPr>
              <w:rPr>
                <w:rFonts w:asciiTheme="minorEastAsia" w:eastAsiaTheme="minorEastAsia" w:hAnsiTheme="minorEastAsia"/>
                <w:color w:val="auto"/>
              </w:rPr>
            </w:pPr>
            <w:r w:rsidRPr="000B6440">
              <w:rPr>
                <w:rFonts w:asciiTheme="minorEastAsia" w:eastAsiaTheme="minorEastAsia" w:hAnsiTheme="minorEastAsia" w:hint="eastAsia"/>
                <w:color w:val="auto"/>
              </w:rPr>
              <w:t>有關「固有成方」範圍，</w:t>
            </w:r>
            <w:proofErr w:type="gramStart"/>
            <w:r w:rsidRPr="000B6440">
              <w:rPr>
                <w:rFonts w:asciiTheme="minorEastAsia" w:eastAsiaTheme="minorEastAsia" w:hAnsiTheme="minorEastAsia" w:hint="eastAsia"/>
                <w:color w:val="auto"/>
              </w:rPr>
              <w:t>衛福部將</w:t>
            </w:r>
            <w:proofErr w:type="gramEnd"/>
            <w:r w:rsidRPr="000B6440">
              <w:rPr>
                <w:rFonts w:asciiTheme="minorEastAsia" w:eastAsiaTheme="minorEastAsia" w:hAnsiTheme="minorEastAsia" w:hint="eastAsia"/>
                <w:color w:val="auto"/>
              </w:rPr>
              <w:t>優先參酌已公告中藥基準方200方，後續再蒐集中醫藥產業意見，並就其提出建議進行後續規劃事宜。</w:t>
            </w:r>
          </w:p>
          <w:p w:rsidR="00437655" w:rsidRPr="000B6440" w:rsidRDefault="00437655" w:rsidP="00437655">
            <w:pPr>
              <w:pStyle w:val="23"/>
              <w:numPr>
                <w:ilvl w:val="0"/>
                <w:numId w:val="8"/>
              </w:numPr>
              <w:rPr>
                <w:rFonts w:asciiTheme="minorEastAsia" w:eastAsiaTheme="minorEastAsia" w:hAnsiTheme="minorEastAsia"/>
                <w:color w:val="auto"/>
              </w:rPr>
            </w:pPr>
            <w:r w:rsidRPr="000B6440">
              <w:rPr>
                <w:rFonts w:asciiTheme="minorEastAsia" w:eastAsiaTheme="minorEastAsia" w:hAnsiTheme="minorEastAsia"/>
                <w:color w:val="auto"/>
              </w:rPr>
              <w:t>中醫藥司(</w:t>
            </w:r>
            <w:proofErr w:type="gramStart"/>
            <w:r w:rsidRPr="000B6440">
              <w:rPr>
                <w:rFonts w:asciiTheme="minorEastAsia" w:eastAsiaTheme="minorEastAsia" w:hAnsiTheme="minorEastAsia" w:hint="eastAsia"/>
                <w:color w:val="auto"/>
              </w:rPr>
              <w:t>組改前</w:t>
            </w:r>
            <w:proofErr w:type="gramEnd"/>
            <w:r w:rsidRPr="000B6440">
              <w:rPr>
                <w:rFonts w:asciiTheme="minorEastAsia" w:eastAsiaTheme="minorEastAsia" w:hAnsiTheme="minorEastAsia" w:hint="eastAsia"/>
                <w:color w:val="auto"/>
              </w:rPr>
              <w:t>為</w:t>
            </w:r>
            <w:r w:rsidRPr="000B6440">
              <w:rPr>
                <w:rFonts w:asciiTheme="minorEastAsia" w:eastAsiaTheme="minorEastAsia" w:hAnsiTheme="minorEastAsia"/>
                <w:color w:val="auto"/>
              </w:rPr>
              <w:t>中醫藥委員會)自95-102年，</w:t>
            </w:r>
            <w:r w:rsidRPr="000B6440">
              <w:rPr>
                <w:rFonts w:asciiTheme="minorEastAsia" w:eastAsiaTheme="minorEastAsia" w:hAnsiTheme="minorEastAsia" w:hint="eastAsia"/>
                <w:color w:val="auto"/>
              </w:rPr>
              <w:t>已</w:t>
            </w:r>
            <w:r w:rsidRPr="000B6440">
              <w:rPr>
                <w:rFonts w:asciiTheme="minorEastAsia" w:eastAsiaTheme="minorEastAsia" w:hAnsiTheme="minorEastAsia"/>
                <w:color w:val="auto"/>
              </w:rPr>
              <w:t>陸續辦理「常用中藥</w:t>
            </w:r>
            <w:proofErr w:type="gramStart"/>
            <w:r w:rsidRPr="000B6440">
              <w:rPr>
                <w:rFonts w:asciiTheme="minorEastAsia" w:eastAsiaTheme="minorEastAsia" w:hAnsiTheme="minorEastAsia"/>
                <w:color w:val="auto"/>
              </w:rPr>
              <w:t>製劑腎毒性</w:t>
            </w:r>
            <w:proofErr w:type="gramEnd"/>
            <w:r w:rsidRPr="000B6440">
              <w:rPr>
                <w:rFonts w:asciiTheme="minorEastAsia" w:eastAsiaTheme="minorEastAsia" w:hAnsiTheme="minorEastAsia"/>
                <w:color w:val="auto"/>
              </w:rPr>
              <w:t>安全性研究」委託計畫，</w:t>
            </w:r>
            <w:r w:rsidRPr="000B6440">
              <w:rPr>
                <w:rFonts w:asciiTheme="minorEastAsia" w:eastAsiaTheme="minorEastAsia" w:hAnsiTheme="minorEastAsia" w:hint="eastAsia"/>
                <w:color w:val="auto"/>
              </w:rPr>
              <w:t>針對</w:t>
            </w:r>
            <w:r w:rsidRPr="000B6440">
              <w:rPr>
                <w:rFonts w:asciiTheme="minorEastAsia" w:eastAsiaTheme="minorEastAsia" w:hAnsiTheme="minorEastAsia"/>
                <w:color w:val="auto"/>
              </w:rPr>
              <w:t>健保排名前300項</w:t>
            </w:r>
            <w:r w:rsidRPr="000B6440">
              <w:rPr>
                <w:rFonts w:asciiTheme="minorEastAsia" w:eastAsiaTheme="minorEastAsia" w:hAnsiTheme="minorEastAsia" w:hint="eastAsia"/>
                <w:color w:val="auto"/>
              </w:rPr>
              <w:t>的</w:t>
            </w:r>
            <w:r w:rsidRPr="000B6440">
              <w:rPr>
                <w:rFonts w:asciiTheme="minorEastAsia" w:eastAsiaTheme="minorEastAsia" w:hAnsiTheme="minorEastAsia"/>
                <w:color w:val="auto"/>
              </w:rPr>
              <w:t>中藥濃縮製劑，共已完成104項之腎毒性研究。</w:t>
            </w:r>
            <w:r w:rsidRPr="000B6440">
              <w:rPr>
                <w:rFonts w:asciiTheme="minorEastAsia" w:eastAsiaTheme="minorEastAsia" w:hAnsiTheme="minorEastAsia" w:hint="eastAsia"/>
                <w:color w:val="auto"/>
              </w:rPr>
              <w:t>研究中</w:t>
            </w:r>
            <w:r w:rsidRPr="000B6440">
              <w:rPr>
                <w:rFonts w:asciiTheme="minorEastAsia" w:eastAsiaTheme="minorEastAsia" w:hAnsiTheme="minorEastAsia"/>
                <w:color w:val="auto"/>
              </w:rPr>
              <w:t>參考臨床常用劑量、用法、並餵食</w:t>
            </w:r>
            <w:proofErr w:type="gramStart"/>
            <w:r w:rsidRPr="000B6440">
              <w:rPr>
                <w:rFonts w:asciiTheme="minorEastAsia" w:eastAsiaTheme="minorEastAsia" w:hAnsiTheme="minorEastAsia"/>
                <w:color w:val="auto"/>
              </w:rPr>
              <w:t>實驗大鼠</w:t>
            </w:r>
            <w:proofErr w:type="gramEnd"/>
            <w:r w:rsidRPr="000B6440">
              <w:rPr>
                <w:rFonts w:asciiTheme="minorEastAsia" w:eastAsiaTheme="minorEastAsia" w:hAnsiTheme="minorEastAsia"/>
                <w:color w:val="auto"/>
              </w:rPr>
              <w:t>7-14天。</w:t>
            </w:r>
            <w:r w:rsidRPr="000B6440">
              <w:rPr>
                <w:rFonts w:asciiTheme="minorEastAsia" w:eastAsiaTheme="minorEastAsia" w:hAnsiTheme="minorEastAsia" w:hint="eastAsia"/>
                <w:color w:val="auto"/>
              </w:rPr>
              <w:t>實驗結果</w:t>
            </w:r>
            <w:r w:rsidRPr="000B6440">
              <w:rPr>
                <w:rFonts w:asciiTheme="minorEastAsia" w:eastAsiaTheme="minorEastAsia" w:hAnsiTheme="minorEastAsia"/>
                <w:color w:val="auto"/>
              </w:rPr>
              <w:t>發現，除了少數複方中藥(例如</w:t>
            </w:r>
            <w:proofErr w:type="gramStart"/>
            <w:r w:rsidRPr="000B6440">
              <w:rPr>
                <w:rFonts w:asciiTheme="minorEastAsia" w:eastAsiaTheme="minorEastAsia" w:hAnsiTheme="minorEastAsia"/>
                <w:color w:val="auto"/>
              </w:rPr>
              <w:t>龍膽瀉肝湯</w:t>
            </w:r>
            <w:proofErr w:type="gramEnd"/>
            <w:r w:rsidRPr="000B6440">
              <w:rPr>
                <w:rFonts w:asciiTheme="minorEastAsia" w:eastAsiaTheme="minorEastAsia" w:hAnsiTheme="minorEastAsia"/>
                <w:color w:val="auto"/>
              </w:rPr>
              <w:t>、加味逍遙散、小青龍湯、</w:t>
            </w:r>
            <w:proofErr w:type="gramStart"/>
            <w:r w:rsidRPr="000B6440">
              <w:rPr>
                <w:rFonts w:asciiTheme="minorEastAsia" w:eastAsiaTheme="minorEastAsia" w:hAnsiTheme="minorEastAsia"/>
                <w:color w:val="auto"/>
              </w:rPr>
              <w:t>桃核承氣湯</w:t>
            </w:r>
            <w:proofErr w:type="gramEnd"/>
            <w:r w:rsidRPr="000B6440">
              <w:rPr>
                <w:rFonts w:asciiTheme="minorEastAsia" w:eastAsiaTheme="minorEastAsia" w:hAnsiTheme="minorEastAsia"/>
                <w:bCs/>
                <w:color w:val="auto"/>
              </w:rPr>
              <w:t>、</w:t>
            </w:r>
            <w:r w:rsidRPr="000B6440">
              <w:rPr>
                <w:rFonts w:asciiTheme="minorEastAsia" w:eastAsiaTheme="minorEastAsia" w:hAnsiTheme="minorEastAsia"/>
                <w:color w:val="auto"/>
              </w:rPr>
              <w:t>養肝丸、四</w:t>
            </w:r>
            <w:proofErr w:type="gramStart"/>
            <w:r w:rsidRPr="000B6440">
              <w:rPr>
                <w:rFonts w:asciiTheme="minorEastAsia" w:eastAsiaTheme="minorEastAsia" w:hAnsiTheme="minorEastAsia"/>
                <w:color w:val="auto"/>
              </w:rPr>
              <w:t>逆湯</w:t>
            </w:r>
            <w:proofErr w:type="gramEnd"/>
            <w:r w:rsidRPr="000B6440">
              <w:rPr>
                <w:rFonts w:asciiTheme="minorEastAsia" w:eastAsiaTheme="minorEastAsia" w:hAnsiTheme="minorEastAsia"/>
                <w:color w:val="auto"/>
              </w:rPr>
              <w:t>、上中下通用痛風丸、</w:t>
            </w:r>
            <w:proofErr w:type="gramStart"/>
            <w:r w:rsidRPr="000B6440">
              <w:rPr>
                <w:rFonts w:asciiTheme="minorEastAsia" w:eastAsiaTheme="minorEastAsia" w:hAnsiTheme="minorEastAsia"/>
                <w:color w:val="auto"/>
              </w:rPr>
              <w:t>消痔丸、調胃承氣湯</w:t>
            </w:r>
            <w:proofErr w:type="gramEnd"/>
            <w:r w:rsidRPr="000B6440">
              <w:rPr>
                <w:rFonts w:asciiTheme="minorEastAsia" w:eastAsiaTheme="minorEastAsia" w:hAnsiTheme="minorEastAsia"/>
                <w:color w:val="auto"/>
              </w:rPr>
              <w:t>、茵陳蒿湯、小柴胡湯、補陽還五湯、小建中湯、桑</w:t>
            </w:r>
            <w:proofErr w:type="gramStart"/>
            <w:r w:rsidRPr="000B6440">
              <w:rPr>
                <w:rFonts w:asciiTheme="minorEastAsia" w:eastAsiaTheme="minorEastAsia" w:hAnsiTheme="minorEastAsia"/>
                <w:color w:val="auto"/>
              </w:rPr>
              <w:t>螵蛸</w:t>
            </w:r>
            <w:proofErr w:type="gramEnd"/>
            <w:r w:rsidRPr="000B6440">
              <w:rPr>
                <w:rFonts w:asciiTheme="minorEastAsia" w:eastAsiaTheme="minorEastAsia" w:hAnsiTheme="minorEastAsia"/>
                <w:color w:val="auto"/>
              </w:rPr>
              <w:t>、桑菊飲)會些微</w:t>
            </w:r>
            <w:r w:rsidRPr="000B6440">
              <w:rPr>
                <w:rFonts w:asciiTheme="minorEastAsia" w:eastAsiaTheme="minorEastAsia" w:hAnsiTheme="minorEastAsia" w:hint="eastAsia"/>
                <w:color w:val="auto"/>
              </w:rPr>
              <w:t>影響</w:t>
            </w:r>
            <w:r w:rsidRPr="000B6440">
              <w:rPr>
                <w:rFonts w:asciiTheme="minorEastAsia" w:eastAsiaTheme="minorEastAsia" w:hAnsiTheme="minorEastAsia"/>
                <w:color w:val="auto"/>
              </w:rPr>
              <w:t>血液及尿液</w:t>
            </w:r>
            <w:proofErr w:type="gramStart"/>
            <w:r w:rsidRPr="000B6440">
              <w:rPr>
                <w:rFonts w:asciiTheme="minorEastAsia" w:eastAsiaTheme="minorEastAsia" w:hAnsiTheme="minorEastAsia"/>
                <w:color w:val="auto"/>
              </w:rPr>
              <w:t>生化值外</w:t>
            </w:r>
            <w:proofErr w:type="gramEnd"/>
            <w:r w:rsidRPr="000B6440">
              <w:rPr>
                <w:rFonts w:asciiTheme="minorEastAsia" w:eastAsiaTheme="minorEastAsia" w:hAnsiTheme="minorEastAsia"/>
                <w:bCs/>
                <w:color w:val="auto"/>
              </w:rPr>
              <w:t>，其餘</w:t>
            </w:r>
            <w:r w:rsidRPr="000B6440">
              <w:rPr>
                <w:rFonts w:asciiTheme="minorEastAsia" w:eastAsiaTheme="minorEastAsia" w:hAnsiTheme="minorEastAsia"/>
                <w:color w:val="auto"/>
              </w:rPr>
              <w:t>臨床常用複方濃縮中藥製劑在7-14天的服用期，經由腎臟病理切片分析，發現並不會對腎功能造成急性或亞急性的腎臟損傷。</w:t>
            </w:r>
          </w:p>
          <w:p w:rsidR="00437655" w:rsidRPr="000B6440" w:rsidRDefault="00437655" w:rsidP="00437655">
            <w:pPr>
              <w:pStyle w:val="23"/>
              <w:numPr>
                <w:ilvl w:val="0"/>
                <w:numId w:val="8"/>
              </w:numPr>
              <w:rPr>
                <w:rFonts w:asciiTheme="minorEastAsia" w:eastAsiaTheme="minorEastAsia" w:hAnsiTheme="minorEastAsia"/>
                <w:color w:val="auto"/>
              </w:rPr>
            </w:pPr>
            <w:r w:rsidRPr="000B6440">
              <w:rPr>
                <w:rFonts w:asciiTheme="minorEastAsia" w:eastAsiaTheme="minorEastAsia" w:hAnsiTheme="minorEastAsia"/>
                <w:color w:val="auto"/>
              </w:rPr>
              <w:t>國家中醫藥研究所</w:t>
            </w:r>
            <w:r w:rsidRPr="000B6440">
              <w:rPr>
                <w:rFonts w:asciiTheme="minorEastAsia" w:eastAsiaTheme="minorEastAsia" w:hAnsiTheme="minorEastAsia" w:hint="eastAsia"/>
                <w:color w:val="auto"/>
              </w:rPr>
              <w:t>於102年7月23日改</w:t>
            </w:r>
            <w:proofErr w:type="gramStart"/>
            <w:r w:rsidRPr="000B6440">
              <w:rPr>
                <w:rFonts w:asciiTheme="minorEastAsia" w:eastAsiaTheme="minorEastAsia" w:hAnsiTheme="minorEastAsia" w:hint="eastAsia"/>
                <w:color w:val="auto"/>
              </w:rPr>
              <w:t>隸衛福部</w:t>
            </w:r>
            <w:proofErr w:type="gramEnd"/>
            <w:r w:rsidRPr="000B6440">
              <w:rPr>
                <w:rFonts w:asciiTheme="minorEastAsia" w:eastAsiaTheme="minorEastAsia" w:hAnsiTheme="minorEastAsia" w:hint="eastAsia"/>
                <w:color w:val="auto"/>
              </w:rPr>
              <w:t>，並</w:t>
            </w:r>
            <w:r w:rsidRPr="000B6440">
              <w:rPr>
                <w:rFonts w:asciiTheme="minorEastAsia" w:eastAsiaTheme="minorEastAsia" w:hAnsiTheme="minorEastAsia"/>
                <w:color w:val="auto"/>
              </w:rPr>
              <w:t>自103年起，配合中醫藥衛生政策，針對常用複方中藥之安全性進行相關研究，包</w:t>
            </w:r>
            <w:r w:rsidRPr="000B6440">
              <w:rPr>
                <w:rFonts w:asciiTheme="minorEastAsia" w:eastAsiaTheme="minorEastAsia" w:hAnsiTheme="minorEastAsia"/>
                <w:color w:val="auto"/>
              </w:rPr>
              <w:lastRenderedPageBreak/>
              <w:t>括：</w:t>
            </w:r>
          </w:p>
          <w:p w:rsidR="00437655" w:rsidRPr="000B6440" w:rsidRDefault="00437655" w:rsidP="00437655">
            <w:pPr>
              <w:pStyle w:val="23"/>
              <w:rPr>
                <w:rFonts w:asciiTheme="minorEastAsia" w:eastAsiaTheme="minorEastAsia" w:hAnsiTheme="minorEastAsia"/>
                <w:color w:val="auto"/>
              </w:rPr>
            </w:pPr>
            <w:r w:rsidRPr="000B6440">
              <w:rPr>
                <w:rFonts w:asciiTheme="minorEastAsia" w:eastAsiaTheme="minorEastAsia" w:hAnsiTheme="minorEastAsia" w:hint="eastAsia"/>
                <w:color w:val="auto"/>
                <w:u w:val="single"/>
              </w:rPr>
              <w:t>3.1</w:t>
            </w:r>
            <w:r w:rsidRPr="000B6440">
              <w:rPr>
                <w:rFonts w:asciiTheme="minorEastAsia" w:eastAsiaTheme="minorEastAsia" w:hAnsiTheme="minorEastAsia"/>
                <w:color w:val="auto"/>
                <w:u w:val="single"/>
              </w:rPr>
              <w:t>. 執行固有成方與西藥之交互作用研究</w:t>
            </w:r>
            <w:r w:rsidRPr="000B6440">
              <w:rPr>
                <w:rFonts w:asciiTheme="minorEastAsia" w:eastAsiaTheme="minorEastAsia" w:hAnsiTheme="minorEastAsia"/>
                <w:color w:val="auto"/>
              </w:rPr>
              <w:t>：</w:t>
            </w:r>
          </w:p>
          <w:p w:rsidR="00437655" w:rsidRPr="000B6440" w:rsidRDefault="00437655" w:rsidP="00437655">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color w:val="auto"/>
              </w:rPr>
              <w:t>(1) 中西藥</w:t>
            </w:r>
            <w:proofErr w:type="gramStart"/>
            <w:r w:rsidRPr="000B6440">
              <w:rPr>
                <w:rFonts w:asciiTheme="minorEastAsia" w:eastAsiaTheme="minorEastAsia" w:hAnsiTheme="minorEastAsia"/>
                <w:color w:val="auto"/>
              </w:rPr>
              <w:t>併</w:t>
            </w:r>
            <w:proofErr w:type="gramEnd"/>
            <w:r w:rsidRPr="000B6440">
              <w:rPr>
                <w:rFonts w:asciiTheme="minorEastAsia" w:eastAsiaTheme="minorEastAsia" w:hAnsiTheme="minorEastAsia"/>
                <w:color w:val="auto"/>
              </w:rPr>
              <w:t>用之結果，可能會經由影響肝臟</w:t>
            </w:r>
            <w:r w:rsidRPr="000B6440">
              <w:rPr>
                <w:rFonts w:asciiTheme="minorEastAsia" w:eastAsiaTheme="minorEastAsia" w:hAnsiTheme="minorEastAsia" w:hint="eastAsia"/>
                <w:color w:val="auto"/>
              </w:rPr>
              <w:t>代謝</w:t>
            </w:r>
            <w:r w:rsidRPr="000B6440">
              <w:rPr>
                <w:rFonts w:asciiTheme="minorEastAsia" w:eastAsiaTheme="minorEastAsia" w:hAnsiTheme="minorEastAsia"/>
                <w:color w:val="auto"/>
              </w:rPr>
              <w:t>酵素(</w:t>
            </w:r>
            <w:proofErr w:type="spellStart"/>
            <w:r w:rsidRPr="000B6440">
              <w:rPr>
                <w:rFonts w:asciiTheme="minorEastAsia" w:eastAsiaTheme="minorEastAsia" w:hAnsiTheme="minorEastAsia"/>
                <w:color w:val="auto"/>
              </w:rPr>
              <w:t>cytochrome</w:t>
            </w:r>
            <w:proofErr w:type="spellEnd"/>
            <w:r w:rsidRPr="000B6440">
              <w:rPr>
                <w:rFonts w:asciiTheme="minorEastAsia" w:eastAsiaTheme="minorEastAsia" w:hAnsiTheme="minorEastAsia"/>
                <w:color w:val="auto"/>
              </w:rPr>
              <w:t xml:space="preserve"> P450，CYP)的代謝功能而發生</w:t>
            </w:r>
            <w:proofErr w:type="gramStart"/>
            <w:r w:rsidRPr="000B6440">
              <w:rPr>
                <w:rFonts w:asciiTheme="minorEastAsia" w:eastAsiaTheme="minorEastAsia" w:hAnsiTheme="minorEastAsia"/>
                <w:color w:val="auto"/>
              </w:rPr>
              <w:t>不</w:t>
            </w:r>
            <w:proofErr w:type="gramEnd"/>
            <w:r w:rsidRPr="000B6440">
              <w:rPr>
                <w:rFonts w:asciiTheme="minorEastAsia" w:eastAsiaTheme="minorEastAsia" w:hAnsiTheme="minorEastAsia"/>
                <w:color w:val="auto"/>
              </w:rPr>
              <w:t>預期的作用(包括減低藥效、提升藥效與毒性等)。過去的研究著重於單方，然而複方才是病患實際使用的藥品，且複方研究對</w:t>
            </w:r>
            <w:proofErr w:type="gramStart"/>
            <w:r w:rsidRPr="000B6440">
              <w:rPr>
                <w:rFonts w:asciiTheme="minorEastAsia" w:eastAsiaTheme="minorEastAsia" w:hAnsiTheme="minorEastAsia"/>
                <w:color w:val="auto"/>
              </w:rPr>
              <w:t>醫</w:t>
            </w:r>
            <w:proofErr w:type="gramEnd"/>
            <w:r w:rsidRPr="000B6440">
              <w:rPr>
                <w:rFonts w:asciiTheme="minorEastAsia" w:eastAsiaTheme="minorEastAsia" w:hAnsiTheme="minorEastAsia"/>
                <w:color w:val="auto"/>
              </w:rPr>
              <w:t>事人員的專業及病患的福利極具重要性</w:t>
            </w:r>
            <w:r w:rsidRPr="000B6440">
              <w:rPr>
                <w:rFonts w:asciiTheme="minorEastAsia" w:eastAsiaTheme="minorEastAsia" w:hAnsiTheme="minorEastAsia" w:hint="eastAsia"/>
                <w:color w:val="auto"/>
              </w:rPr>
              <w:t>。</w:t>
            </w:r>
          </w:p>
          <w:p w:rsidR="00437655" w:rsidRPr="000B6440" w:rsidRDefault="00437655" w:rsidP="00437655">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color w:val="auto"/>
              </w:rPr>
              <w:t>(2)「</w:t>
            </w:r>
            <w:proofErr w:type="spellStart"/>
            <w:r w:rsidRPr="000B6440">
              <w:rPr>
                <w:rFonts w:asciiTheme="minorEastAsia" w:eastAsiaTheme="minorEastAsia" w:hAnsiTheme="minorEastAsia"/>
                <w:color w:val="auto"/>
              </w:rPr>
              <w:t>warfarin</w:t>
            </w:r>
            <w:proofErr w:type="spellEnd"/>
            <w:r w:rsidRPr="000B6440">
              <w:rPr>
                <w:rFonts w:asciiTheme="minorEastAsia" w:eastAsiaTheme="minorEastAsia" w:hAnsiTheme="minorEastAsia"/>
                <w:color w:val="auto"/>
              </w:rPr>
              <w:t>」是心血管疾病病患常用藥物，</w:t>
            </w:r>
            <w:r w:rsidRPr="000B6440">
              <w:rPr>
                <w:rFonts w:asciiTheme="minorEastAsia" w:eastAsiaTheme="minorEastAsia" w:hAnsiTheme="minorEastAsia" w:hint="eastAsia"/>
                <w:color w:val="auto"/>
              </w:rPr>
              <w:t>功能是</w:t>
            </w:r>
            <w:r w:rsidRPr="000B6440">
              <w:rPr>
                <w:rFonts w:asciiTheme="minorEastAsia" w:eastAsiaTheme="minorEastAsia" w:hAnsiTheme="minorEastAsia"/>
                <w:color w:val="auto"/>
              </w:rPr>
              <w:t>抗凝血，</w:t>
            </w:r>
            <w:r w:rsidRPr="000B6440">
              <w:rPr>
                <w:rFonts w:asciiTheme="minorEastAsia" w:eastAsiaTheme="minorEastAsia" w:hAnsiTheme="minorEastAsia" w:hint="eastAsia"/>
                <w:color w:val="auto"/>
              </w:rPr>
              <w:t>且</w:t>
            </w:r>
            <w:r w:rsidRPr="000B6440">
              <w:rPr>
                <w:rFonts w:asciiTheme="minorEastAsia" w:eastAsiaTheme="minorEastAsia" w:hAnsiTheme="minorEastAsia"/>
                <w:color w:val="auto"/>
              </w:rPr>
              <w:t>已知是透過肝臟酵素CYP2C9來代謝。</w:t>
            </w:r>
          </w:p>
          <w:p w:rsidR="00437655" w:rsidRPr="000B6440" w:rsidRDefault="00437655" w:rsidP="00437655">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(3) 透過臨床觀察，發現中藥</w:t>
            </w:r>
            <w:r w:rsidRPr="000B6440">
              <w:rPr>
                <w:rFonts w:asciiTheme="minorEastAsia" w:eastAsiaTheme="minorEastAsia" w:hAnsiTheme="minorEastAsia"/>
                <w:color w:val="auto"/>
              </w:rPr>
              <w:t>「</w:t>
            </w:r>
            <w:proofErr w:type="gramStart"/>
            <w:r w:rsidRPr="000B6440">
              <w:rPr>
                <w:rFonts w:asciiTheme="minorEastAsia" w:eastAsiaTheme="minorEastAsia" w:hAnsiTheme="minorEastAsia"/>
                <w:color w:val="auto"/>
              </w:rPr>
              <w:t>疏經活血湯</w:t>
            </w:r>
            <w:proofErr w:type="gramEnd"/>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會影響凝血功能，</w:t>
            </w:r>
            <w:r w:rsidRPr="000B6440">
              <w:rPr>
                <w:rFonts w:asciiTheme="minorEastAsia" w:eastAsiaTheme="minorEastAsia" w:hAnsiTheme="minorEastAsia"/>
                <w:color w:val="auto"/>
              </w:rPr>
              <w:t>而</w:t>
            </w:r>
            <w:r w:rsidRPr="000B6440">
              <w:rPr>
                <w:rFonts w:asciiTheme="minorEastAsia" w:eastAsiaTheme="minorEastAsia" w:hAnsiTheme="minorEastAsia" w:hint="eastAsia"/>
                <w:color w:val="auto"/>
              </w:rPr>
              <w:t>且</w:t>
            </w:r>
            <w:r w:rsidRPr="000B6440">
              <w:rPr>
                <w:rFonts w:asciiTheme="minorEastAsia" w:eastAsiaTheme="minorEastAsia" w:hAnsiTheme="minorEastAsia"/>
                <w:color w:val="auto"/>
              </w:rPr>
              <w:t>常</w:t>
            </w:r>
            <w:r w:rsidRPr="000B6440">
              <w:rPr>
                <w:rFonts w:asciiTheme="minorEastAsia" w:eastAsiaTheme="minorEastAsia" w:hAnsiTheme="minorEastAsia" w:hint="eastAsia"/>
                <w:color w:val="auto"/>
              </w:rPr>
              <w:t>應用</w:t>
            </w:r>
            <w:r w:rsidRPr="000B6440">
              <w:rPr>
                <w:rFonts w:asciiTheme="minorEastAsia" w:eastAsiaTheme="minorEastAsia" w:hAnsiTheme="minorEastAsia"/>
                <w:color w:val="auto"/>
              </w:rPr>
              <w:t>於心血管疾病。</w:t>
            </w:r>
            <w:r w:rsidRPr="000B6440">
              <w:rPr>
                <w:rFonts w:asciiTheme="minorEastAsia" w:eastAsiaTheme="minorEastAsia" w:hAnsiTheme="minorEastAsia" w:hint="eastAsia"/>
                <w:color w:val="auto"/>
              </w:rPr>
              <w:t>因此，</w:t>
            </w:r>
            <w:r w:rsidRPr="000B6440">
              <w:rPr>
                <w:rFonts w:asciiTheme="minorEastAsia" w:eastAsiaTheme="minorEastAsia" w:hAnsiTheme="minorEastAsia"/>
                <w:color w:val="auto"/>
              </w:rPr>
              <w:t>本計畫研究</w:t>
            </w:r>
            <w:proofErr w:type="gramStart"/>
            <w:r w:rsidRPr="000B6440">
              <w:rPr>
                <w:rFonts w:asciiTheme="minorEastAsia" w:eastAsiaTheme="minorEastAsia" w:hAnsiTheme="minorEastAsia"/>
                <w:color w:val="auto"/>
              </w:rPr>
              <w:t>併</w:t>
            </w:r>
            <w:proofErr w:type="gramEnd"/>
            <w:r w:rsidRPr="000B6440">
              <w:rPr>
                <w:rFonts w:asciiTheme="minorEastAsia" w:eastAsiaTheme="minorEastAsia" w:hAnsiTheme="minorEastAsia"/>
                <w:color w:val="auto"/>
              </w:rPr>
              <w:t>用「</w:t>
            </w:r>
            <w:proofErr w:type="gramStart"/>
            <w:r w:rsidRPr="000B6440">
              <w:rPr>
                <w:rFonts w:asciiTheme="minorEastAsia" w:eastAsiaTheme="minorEastAsia" w:hAnsiTheme="minorEastAsia"/>
                <w:color w:val="auto"/>
              </w:rPr>
              <w:t>疏經活血湯</w:t>
            </w:r>
            <w:proofErr w:type="gramEnd"/>
            <w:r w:rsidRPr="000B6440">
              <w:rPr>
                <w:rFonts w:asciiTheme="minorEastAsia" w:eastAsiaTheme="minorEastAsia" w:hAnsiTheme="minorEastAsia"/>
                <w:color w:val="auto"/>
              </w:rPr>
              <w:t>」是否會影響「</w:t>
            </w:r>
            <w:proofErr w:type="spellStart"/>
            <w:r w:rsidRPr="000B6440">
              <w:rPr>
                <w:rFonts w:asciiTheme="minorEastAsia" w:eastAsiaTheme="minorEastAsia" w:hAnsiTheme="minorEastAsia"/>
                <w:color w:val="auto"/>
              </w:rPr>
              <w:t>warfarin</w:t>
            </w:r>
            <w:proofErr w:type="spellEnd"/>
            <w:r w:rsidRPr="000B6440">
              <w:rPr>
                <w:rFonts w:asciiTheme="minorEastAsia" w:eastAsiaTheme="minorEastAsia" w:hAnsiTheme="minorEastAsia"/>
                <w:color w:val="auto"/>
              </w:rPr>
              <w:t>」的代謝。</w:t>
            </w:r>
          </w:p>
          <w:p w:rsidR="00437655" w:rsidRPr="000B6440" w:rsidRDefault="00437655" w:rsidP="00437655">
            <w:pPr>
              <w:pStyle w:val="23"/>
              <w:ind w:left="300" w:hangingChars="150" w:hanging="300"/>
              <w:rPr>
                <w:rFonts w:asciiTheme="minorEastAsia" w:eastAsiaTheme="minorEastAsia" w:hAnsiTheme="minorEastAsia"/>
                <w:color w:val="auto"/>
                <w:lang w:val="fr-FR"/>
              </w:rPr>
            </w:pP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4</w:t>
            </w:r>
            <w:r w:rsidRPr="000B6440">
              <w:rPr>
                <w:rFonts w:asciiTheme="minorEastAsia" w:eastAsiaTheme="minorEastAsia" w:hAnsiTheme="minorEastAsia"/>
                <w:color w:val="auto"/>
              </w:rPr>
              <w:t>) 經過比較3家藥廠製作之「</w:t>
            </w:r>
            <w:proofErr w:type="gramStart"/>
            <w:r w:rsidRPr="000B6440">
              <w:rPr>
                <w:rFonts w:asciiTheme="minorEastAsia" w:eastAsiaTheme="minorEastAsia" w:hAnsiTheme="minorEastAsia"/>
                <w:color w:val="auto"/>
              </w:rPr>
              <w:t>疏經活血湯</w:t>
            </w:r>
            <w:proofErr w:type="gramEnd"/>
            <w:r w:rsidRPr="000B6440">
              <w:rPr>
                <w:rFonts w:asciiTheme="minorEastAsia" w:eastAsiaTheme="minorEastAsia" w:hAnsiTheme="minorEastAsia"/>
                <w:color w:val="auto"/>
              </w:rPr>
              <w:t>」中藥</w:t>
            </w:r>
            <w:r w:rsidRPr="000B6440">
              <w:rPr>
                <w:rFonts w:asciiTheme="minorEastAsia" w:eastAsiaTheme="minorEastAsia" w:hAnsiTheme="minorEastAsia" w:hint="eastAsia"/>
                <w:color w:val="auto"/>
              </w:rPr>
              <w:t>濃縮</w:t>
            </w:r>
            <w:r w:rsidRPr="000B6440">
              <w:rPr>
                <w:rFonts w:asciiTheme="minorEastAsia" w:eastAsiaTheme="minorEastAsia" w:hAnsiTheme="minorEastAsia"/>
                <w:color w:val="auto"/>
              </w:rPr>
              <w:t>複方，發現3家的</w:t>
            </w:r>
            <w:proofErr w:type="gramStart"/>
            <w:r w:rsidRPr="000B6440">
              <w:rPr>
                <w:rFonts w:asciiTheme="minorEastAsia" w:eastAsiaTheme="minorEastAsia" w:hAnsiTheme="minorEastAsia" w:hint="eastAsia"/>
                <w:color w:val="auto"/>
              </w:rPr>
              <w:t>產品</w:t>
            </w:r>
            <w:r w:rsidRPr="000B6440">
              <w:rPr>
                <w:rFonts w:asciiTheme="minorEastAsia" w:eastAsiaTheme="minorEastAsia" w:hAnsiTheme="minorEastAsia"/>
                <w:color w:val="auto"/>
              </w:rPr>
              <w:t>均會抑制</w:t>
            </w:r>
            <w:proofErr w:type="gramEnd"/>
            <w:r w:rsidRPr="000B6440">
              <w:rPr>
                <w:rFonts w:asciiTheme="minorEastAsia" w:eastAsiaTheme="minorEastAsia" w:hAnsiTheme="minorEastAsia"/>
                <w:color w:val="auto"/>
              </w:rPr>
              <w:t>肝臟酵素</w:t>
            </w:r>
            <w:r w:rsidRPr="000B6440">
              <w:rPr>
                <w:rFonts w:asciiTheme="minorEastAsia" w:eastAsiaTheme="minorEastAsia" w:hAnsiTheme="minorEastAsia" w:hint="eastAsia"/>
                <w:color w:val="auto"/>
              </w:rPr>
              <w:t>代謝</w:t>
            </w:r>
            <w:r w:rsidRPr="000B6440">
              <w:rPr>
                <w:rFonts w:asciiTheme="minorEastAsia" w:eastAsiaTheme="minorEastAsia" w:hAnsiTheme="minorEastAsia"/>
                <w:color w:val="auto"/>
              </w:rPr>
              <w:t>CYP2C9</w:t>
            </w:r>
            <w:r w:rsidRPr="000B6440">
              <w:rPr>
                <w:rFonts w:asciiTheme="minorEastAsia" w:eastAsiaTheme="minorEastAsia" w:hAnsiTheme="minorEastAsia" w:hint="eastAsia"/>
                <w:color w:val="auto"/>
              </w:rPr>
              <w:t>，進而降低</w:t>
            </w:r>
            <w:proofErr w:type="spellStart"/>
            <w:r w:rsidRPr="000B6440">
              <w:rPr>
                <w:rFonts w:asciiTheme="minorEastAsia" w:eastAsiaTheme="minorEastAsia" w:hAnsiTheme="minorEastAsia"/>
                <w:color w:val="auto"/>
              </w:rPr>
              <w:t>wa</w:t>
            </w:r>
            <w:proofErr w:type="spellEnd"/>
            <w:r w:rsidRPr="000B6440">
              <w:rPr>
                <w:rFonts w:asciiTheme="minorEastAsia" w:eastAsiaTheme="minorEastAsia" w:hAnsiTheme="minorEastAsia"/>
                <w:color w:val="auto"/>
                <w:lang w:val="fr-FR"/>
              </w:rPr>
              <w:t>rfarin</w:t>
            </w:r>
            <w:r w:rsidRPr="000B6440">
              <w:rPr>
                <w:rFonts w:asciiTheme="minorEastAsia" w:eastAsiaTheme="minorEastAsia" w:hAnsiTheme="minorEastAsia" w:hint="eastAsia"/>
                <w:color w:val="auto"/>
                <w:lang w:val="fr-FR"/>
              </w:rPr>
              <w:t>的代謝，而提高</w:t>
            </w:r>
            <w:proofErr w:type="spellStart"/>
            <w:r w:rsidRPr="000B6440">
              <w:rPr>
                <w:rFonts w:asciiTheme="minorEastAsia" w:eastAsiaTheme="minorEastAsia" w:hAnsiTheme="minorEastAsia"/>
                <w:color w:val="auto"/>
              </w:rPr>
              <w:t>wa</w:t>
            </w:r>
            <w:proofErr w:type="spellEnd"/>
            <w:r w:rsidRPr="000B6440">
              <w:rPr>
                <w:rFonts w:asciiTheme="minorEastAsia" w:eastAsiaTheme="minorEastAsia" w:hAnsiTheme="minorEastAsia"/>
                <w:color w:val="auto"/>
                <w:lang w:val="fr-FR"/>
              </w:rPr>
              <w:t>rfarin</w:t>
            </w:r>
            <w:r w:rsidRPr="000B6440">
              <w:rPr>
                <w:rFonts w:asciiTheme="minorEastAsia" w:eastAsiaTheme="minorEastAsia" w:hAnsiTheme="minorEastAsia" w:hint="eastAsia"/>
                <w:color w:val="auto"/>
                <w:lang w:val="fr-FR"/>
              </w:rPr>
              <w:t>的血中濃度。換句話說，</w:t>
            </w:r>
            <w:r w:rsidRPr="000B6440">
              <w:rPr>
                <w:rFonts w:asciiTheme="minorEastAsia" w:eastAsiaTheme="minorEastAsia" w:hAnsiTheme="minorEastAsia"/>
                <w:color w:val="auto"/>
              </w:rPr>
              <w:t>「</w:t>
            </w:r>
            <w:proofErr w:type="gramStart"/>
            <w:r w:rsidRPr="000B6440">
              <w:rPr>
                <w:rFonts w:asciiTheme="minorEastAsia" w:eastAsiaTheme="minorEastAsia" w:hAnsiTheme="minorEastAsia"/>
                <w:color w:val="auto"/>
              </w:rPr>
              <w:t>疏經活血湯</w:t>
            </w:r>
            <w:proofErr w:type="gramEnd"/>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與西藥</w:t>
            </w:r>
            <w:proofErr w:type="spellStart"/>
            <w:r w:rsidRPr="000B6440">
              <w:rPr>
                <w:rFonts w:asciiTheme="minorEastAsia" w:eastAsiaTheme="minorEastAsia" w:hAnsiTheme="minorEastAsia"/>
                <w:color w:val="auto"/>
              </w:rPr>
              <w:t>wa</w:t>
            </w:r>
            <w:proofErr w:type="spellEnd"/>
            <w:r w:rsidRPr="000B6440">
              <w:rPr>
                <w:rFonts w:asciiTheme="minorEastAsia" w:eastAsiaTheme="minorEastAsia" w:hAnsiTheme="minorEastAsia"/>
                <w:color w:val="auto"/>
                <w:lang w:val="fr-FR"/>
              </w:rPr>
              <w:t>rfarin</w:t>
            </w:r>
            <w:r w:rsidRPr="000B6440">
              <w:rPr>
                <w:rFonts w:asciiTheme="minorEastAsia" w:eastAsiaTheme="minorEastAsia" w:hAnsiTheme="minorEastAsia" w:hint="eastAsia"/>
                <w:color w:val="auto"/>
                <w:lang w:val="fr-FR"/>
              </w:rPr>
              <w:t>確實會產生中西藥交互作用，合併使用時必須非常小心，避免因為提高</w:t>
            </w:r>
            <w:proofErr w:type="spellStart"/>
            <w:r w:rsidRPr="000B6440">
              <w:rPr>
                <w:rFonts w:asciiTheme="minorEastAsia" w:eastAsiaTheme="minorEastAsia" w:hAnsiTheme="minorEastAsia"/>
                <w:color w:val="auto"/>
              </w:rPr>
              <w:t>wa</w:t>
            </w:r>
            <w:proofErr w:type="spellEnd"/>
            <w:r w:rsidRPr="000B6440">
              <w:rPr>
                <w:rFonts w:asciiTheme="minorEastAsia" w:eastAsiaTheme="minorEastAsia" w:hAnsiTheme="minorEastAsia"/>
                <w:color w:val="auto"/>
                <w:lang w:val="fr-FR"/>
              </w:rPr>
              <w:t>rfarin</w:t>
            </w:r>
            <w:r w:rsidRPr="000B6440">
              <w:rPr>
                <w:rFonts w:asciiTheme="minorEastAsia" w:eastAsiaTheme="minorEastAsia" w:hAnsiTheme="minorEastAsia" w:hint="eastAsia"/>
                <w:color w:val="auto"/>
                <w:lang w:val="fr-FR"/>
              </w:rPr>
              <w:t>的血中濃度而產生出血現象。</w:t>
            </w:r>
          </w:p>
          <w:p w:rsidR="00437655" w:rsidRPr="000B6440" w:rsidRDefault="00437655" w:rsidP="00437655">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lang w:val="fr-FR"/>
              </w:rPr>
              <w:t xml:space="preserve">(5) </w:t>
            </w:r>
            <w:r w:rsidRPr="000B6440">
              <w:rPr>
                <w:rFonts w:asciiTheme="minorEastAsia" w:eastAsiaTheme="minorEastAsia" w:hAnsiTheme="minorEastAsia"/>
                <w:color w:val="auto"/>
              </w:rPr>
              <w:t>本計畫亦</w:t>
            </w:r>
            <w:proofErr w:type="gramStart"/>
            <w:r w:rsidRPr="000B6440">
              <w:rPr>
                <w:rFonts w:asciiTheme="minorEastAsia" w:eastAsiaTheme="minorEastAsia" w:hAnsiTheme="minorEastAsia"/>
                <w:color w:val="auto"/>
              </w:rPr>
              <w:t>釐</w:t>
            </w:r>
            <w:proofErr w:type="gramEnd"/>
            <w:r w:rsidRPr="000B6440">
              <w:rPr>
                <w:rFonts w:asciiTheme="minorEastAsia" w:eastAsiaTheme="minorEastAsia" w:hAnsiTheme="minorEastAsia"/>
                <w:color w:val="auto"/>
              </w:rPr>
              <w:t>清並確認了「</w:t>
            </w:r>
            <w:proofErr w:type="gramStart"/>
            <w:r w:rsidRPr="000B6440">
              <w:rPr>
                <w:rFonts w:asciiTheme="minorEastAsia" w:eastAsiaTheme="minorEastAsia" w:hAnsiTheme="minorEastAsia"/>
                <w:color w:val="auto"/>
              </w:rPr>
              <w:t>疏經活血湯</w:t>
            </w:r>
            <w:proofErr w:type="gramEnd"/>
            <w:r w:rsidRPr="000B6440">
              <w:rPr>
                <w:rFonts w:asciiTheme="minorEastAsia" w:eastAsiaTheme="minorEastAsia" w:hAnsiTheme="minorEastAsia"/>
                <w:color w:val="auto"/>
              </w:rPr>
              <w:t>」中</w:t>
            </w:r>
            <w:r w:rsidRPr="000B6440">
              <w:rPr>
                <w:rFonts w:asciiTheme="minorEastAsia" w:eastAsiaTheme="minorEastAsia" w:hAnsiTheme="minorEastAsia"/>
                <w:color w:val="auto"/>
                <w:lang w:val="fr-FR"/>
              </w:rPr>
              <w:t>影響</w:t>
            </w:r>
            <w:r w:rsidRPr="000B6440">
              <w:rPr>
                <w:rFonts w:asciiTheme="minorEastAsia" w:eastAsiaTheme="minorEastAsia" w:hAnsiTheme="minorEastAsia"/>
                <w:color w:val="auto"/>
              </w:rPr>
              <w:t>CYP2C9</w:t>
            </w:r>
            <w:r w:rsidRPr="000B6440">
              <w:rPr>
                <w:rFonts w:asciiTheme="minorEastAsia" w:eastAsiaTheme="minorEastAsia" w:hAnsiTheme="minorEastAsia"/>
                <w:color w:val="auto"/>
                <w:lang w:val="fr-FR"/>
              </w:rPr>
              <w:t>的</w:t>
            </w:r>
            <w:r w:rsidRPr="000B6440">
              <w:rPr>
                <w:rFonts w:asciiTheme="minorEastAsia" w:eastAsiaTheme="minorEastAsia" w:hAnsiTheme="minorEastAsia"/>
                <w:color w:val="auto"/>
              </w:rPr>
              <w:t>化學組成成分</w:t>
            </w:r>
            <w:r w:rsidRPr="000B6440">
              <w:rPr>
                <w:rFonts w:asciiTheme="minorEastAsia" w:eastAsiaTheme="minorEastAsia" w:hAnsiTheme="minorEastAsia"/>
                <w:color w:val="auto"/>
                <w:lang w:val="fr-FR"/>
              </w:rPr>
              <w:t>。查目前藥典尚無規範此</w:t>
            </w:r>
            <w:r w:rsidRPr="000B6440">
              <w:rPr>
                <w:rFonts w:asciiTheme="minorEastAsia" w:eastAsiaTheme="minorEastAsia" w:hAnsiTheme="minorEastAsia"/>
                <w:color w:val="auto"/>
              </w:rPr>
              <w:t>複方的主成分，所得結果可作為日後複方的指紋圖譜指標成分標準訂定的依據，作為藥廠的規範，參考</w:t>
            </w:r>
            <w:r w:rsidRPr="000B6440">
              <w:rPr>
                <w:rFonts w:asciiTheme="minorEastAsia" w:eastAsiaTheme="minorEastAsia" w:hAnsiTheme="minorEastAsia"/>
                <w:color w:val="auto"/>
                <w:lang w:val="fr-FR"/>
              </w:rPr>
              <w:t>抑制CYP2C9代謝</w:t>
            </w:r>
            <w:proofErr w:type="spellStart"/>
            <w:r w:rsidRPr="000B6440">
              <w:rPr>
                <w:rFonts w:asciiTheme="minorEastAsia" w:eastAsiaTheme="minorEastAsia" w:hAnsiTheme="minorEastAsia"/>
                <w:color w:val="auto"/>
              </w:rPr>
              <w:t>wa</w:t>
            </w:r>
            <w:proofErr w:type="spellEnd"/>
            <w:r w:rsidRPr="000B6440">
              <w:rPr>
                <w:rFonts w:asciiTheme="minorEastAsia" w:eastAsiaTheme="minorEastAsia" w:hAnsiTheme="minorEastAsia"/>
                <w:color w:val="auto"/>
                <w:lang w:val="fr-FR"/>
              </w:rPr>
              <w:t>rfarin的參數，作為評估交互作用之重要依據，但對病人之影響仍需進一步進行臨床研究。</w:t>
            </w:r>
          </w:p>
          <w:p w:rsidR="00437655" w:rsidRPr="000B6440" w:rsidRDefault="00437655" w:rsidP="00437655">
            <w:pPr>
              <w:pStyle w:val="23"/>
              <w:rPr>
                <w:rFonts w:asciiTheme="minorEastAsia" w:eastAsiaTheme="minorEastAsia" w:hAnsiTheme="minorEastAsia"/>
                <w:color w:val="auto"/>
              </w:rPr>
            </w:pPr>
            <w:r w:rsidRPr="000B6440">
              <w:rPr>
                <w:rFonts w:asciiTheme="minorEastAsia" w:eastAsiaTheme="minorEastAsia" w:hAnsiTheme="minorEastAsia" w:hint="eastAsia"/>
                <w:color w:val="auto"/>
                <w:u w:val="single"/>
              </w:rPr>
              <w:t>3.</w:t>
            </w:r>
            <w:r w:rsidRPr="000B6440">
              <w:rPr>
                <w:rFonts w:asciiTheme="minorEastAsia" w:eastAsiaTheme="minorEastAsia" w:hAnsiTheme="minorEastAsia"/>
                <w:color w:val="auto"/>
                <w:u w:val="single"/>
              </w:rPr>
              <w:t>2. 進行複方中藥改善糖尿病之療效與安全性評估:</w:t>
            </w:r>
            <w:r w:rsidRPr="000B6440">
              <w:rPr>
                <w:rFonts w:asciiTheme="minorEastAsia" w:eastAsiaTheme="minorEastAsia" w:hAnsiTheme="minorEastAsia"/>
                <w:color w:val="auto"/>
              </w:rPr>
              <w:t xml:space="preserve"> </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color w:val="auto"/>
              </w:rPr>
              <w:t xml:space="preserve">(1) </w:t>
            </w:r>
            <w:proofErr w:type="gramStart"/>
            <w:r w:rsidRPr="000B6440">
              <w:rPr>
                <w:rFonts w:asciiTheme="minorEastAsia" w:eastAsiaTheme="minorEastAsia" w:hAnsiTheme="minorEastAsia"/>
                <w:color w:val="auto"/>
              </w:rPr>
              <w:t>血府逐瘀</w:t>
            </w:r>
            <w:proofErr w:type="gramEnd"/>
            <w:r w:rsidRPr="000B6440">
              <w:rPr>
                <w:rFonts w:asciiTheme="minorEastAsia" w:eastAsiaTheme="minorEastAsia" w:hAnsiTheme="minorEastAsia"/>
                <w:color w:val="auto"/>
              </w:rPr>
              <w:t>湯為具有改善血液循環、</w:t>
            </w:r>
            <w:proofErr w:type="gramStart"/>
            <w:r w:rsidRPr="000B6440">
              <w:rPr>
                <w:rFonts w:asciiTheme="minorEastAsia" w:eastAsiaTheme="minorEastAsia" w:hAnsiTheme="minorEastAsia"/>
                <w:color w:val="auto"/>
              </w:rPr>
              <w:t>活血化瘀</w:t>
            </w:r>
            <w:proofErr w:type="gramEnd"/>
            <w:r w:rsidRPr="000B6440">
              <w:rPr>
                <w:rFonts w:asciiTheme="minorEastAsia" w:eastAsiaTheme="minorEastAsia" w:hAnsiTheme="minorEastAsia"/>
                <w:color w:val="auto"/>
              </w:rPr>
              <w:lastRenderedPageBreak/>
              <w:t>的固有成方。本計畫以</w:t>
            </w:r>
            <w:r w:rsidRPr="000B6440">
              <w:rPr>
                <w:rFonts w:asciiTheme="minorEastAsia" w:eastAsiaTheme="minorEastAsia" w:hAnsiTheme="minorEastAsia" w:hint="eastAsia"/>
                <w:color w:val="auto"/>
              </w:rPr>
              <w:t>先天性糖尿病鼠(</w:t>
            </w:r>
            <w:r w:rsidRPr="000B6440">
              <w:rPr>
                <w:rFonts w:asciiTheme="minorEastAsia" w:eastAsiaTheme="minorEastAsia" w:hAnsiTheme="minorEastAsia"/>
                <w:color w:val="auto"/>
              </w:rPr>
              <w:t>第</w:t>
            </w:r>
            <w:r w:rsidRPr="000B6440">
              <w:rPr>
                <w:rFonts w:asciiTheme="minorEastAsia" w:eastAsiaTheme="minorEastAsia" w:hAnsiTheme="minorEastAsia" w:hint="eastAsia"/>
                <w:color w:val="auto"/>
              </w:rPr>
              <w:t>一</w:t>
            </w:r>
            <w:r w:rsidRPr="000B6440">
              <w:rPr>
                <w:rFonts w:asciiTheme="minorEastAsia" w:eastAsiaTheme="minorEastAsia" w:hAnsiTheme="minorEastAsia"/>
                <w:color w:val="auto"/>
              </w:rPr>
              <w:t>型糖尿病</w:t>
            </w:r>
            <w:r w:rsidRPr="000B6440">
              <w:rPr>
                <w:rFonts w:asciiTheme="minorEastAsia" w:eastAsiaTheme="minorEastAsia" w:hAnsiTheme="minorEastAsia" w:hint="eastAsia"/>
                <w:color w:val="auto"/>
              </w:rPr>
              <w:t>)</w:t>
            </w:r>
            <w:r w:rsidRPr="000B6440">
              <w:rPr>
                <w:rFonts w:asciiTheme="minorEastAsia" w:eastAsiaTheme="minorEastAsia" w:hAnsiTheme="minorEastAsia"/>
                <w:color w:val="auto"/>
              </w:rPr>
              <w:t>，針對口服餵食</w:t>
            </w:r>
            <w:proofErr w:type="gramStart"/>
            <w:r w:rsidRPr="000B6440">
              <w:rPr>
                <w:rFonts w:asciiTheme="minorEastAsia" w:eastAsiaTheme="minorEastAsia" w:hAnsiTheme="minorEastAsia"/>
                <w:color w:val="auto"/>
              </w:rPr>
              <w:t>血府逐瘀湯後</w:t>
            </w:r>
            <w:proofErr w:type="gramEnd"/>
            <w:r w:rsidRPr="000B6440">
              <w:rPr>
                <w:rFonts w:asciiTheme="minorEastAsia" w:eastAsiaTheme="minorEastAsia" w:hAnsiTheme="minorEastAsia"/>
                <w:color w:val="auto"/>
              </w:rPr>
              <w:t>對於血糖控制做一檢測。</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2</w:t>
            </w:r>
            <w:r w:rsidRPr="000B6440">
              <w:rPr>
                <w:rFonts w:asciiTheme="minorEastAsia" w:eastAsiaTheme="minorEastAsia" w:hAnsiTheme="minorEastAsia"/>
                <w:color w:val="auto"/>
              </w:rPr>
              <w:t>) 結果發現單獨使用</w:t>
            </w:r>
            <w:proofErr w:type="gramStart"/>
            <w:r w:rsidRPr="000B6440">
              <w:rPr>
                <w:rFonts w:asciiTheme="minorEastAsia" w:eastAsiaTheme="minorEastAsia" w:hAnsiTheme="minorEastAsia"/>
                <w:color w:val="auto"/>
              </w:rPr>
              <w:t>血府逐瘀湯雖</w:t>
            </w:r>
            <w:proofErr w:type="gramEnd"/>
            <w:r w:rsidRPr="000B6440">
              <w:rPr>
                <w:rFonts w:asciiTheme="minorEastAsia" w:eastAsiaTheme="minorEastAsia" w:hAnsiTheme="minorEastAsia"/>
                <w:color w:val="auto"/>
              </w:rPr>
              <w:t>無法達到降低血糖的效果，但是搭配胰島素的使用，具有加強胰島素治療的效果。</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 xml:space="preserve">(3) </w:t>
            </w:r>
            <w:r w:rsidRPr="000B6440">
              <w:rPr>
                <w:rFonts w:asciiTheme="minorEastAsia" w:eastAsiaTheme="minorEastAsia" w:hAnsiTheme="minorEastAsia"/>
                <w:color w:val="auto"/>
              </w:rPr>
              <w:t>對於第二型糖尿病的病人來說，若已發展變成胰島素依賴型，除了西醫常用的胰島素加</w:t>
            </w:r>
            <w:proofErr w:type="spellStart"/>
            <w:r w:rsidRPr="000B6440">
              <w:rPr>
                <w:rFonts w:asciiTheme="minorEastAsia" w:eastAsiaTheme="minorEastAsia" w:hAnsiTheme="minorEastAsia"/>
                <w:color w:val="auto"/>
              </w:rPr>
              <w:t>metformin</w:t>
            </w:r>
            <w:proofErr w:type="spellEnd"/>
            <w:r w:rsidRPr="000B6440">
              <w:rPr>
                <w:rFonts w:asciiTheme="minorEastAsia" w:eastAsiaTheme="minorEastAsia" w:hAnsiTheme="minorEastAsia"/>
                <w:color w:val="auto"/>
              </w:rPr>
              <w:t>，另外配合「</w:t>
            </w:r>
            <w:proofErr w:type="gramStart"/>
            <w:r w:rsidRPr="000B6440">
              <w:rPr>
                <w:rFonts w:asciiTheme="minorEastAsia" w:eastAsiaTheme="minorEastAsia" w:hAnsiTheme="minorEastAsia"/>
                <w:color w:val="auto"/>
              </w:rPr>
              <w:t>血府逐瘀</w:t>
            </w:r>
            <w:proofErr w:type="gramEnd"/>
            <w:r w:rsidRPr="000B6440">
              <w:rPr>
                <w:rFonts w:asciiTheme="minorEastAsia" w:eastAsiaTheme="minorEastAsia" w:hAnsiTheme="minorEastAsia"/>
                <w:color w:val="auto"/>
              </w:rPr>
              <w:t>湯」合併使用應該能達到類似的效果。</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color w:val="auto"/>
              </w:rPr>
              <w:t>(4) 「</w:t>
            </w:r>
            <w:proofErr w:type="gramStart"/>
            <w:r w:rsidRPr="000B6440">
              <w:rPr>
                <w:rFonts w:asciiTheme="minorEastAsia" w:eastAsiaTheme="minorEastAsia" w:hAnsiTheme="minorEastAsia"/>
                <w:color w:val="auto"/>
              </w:rPr>
              <w:t>血府逐瘀</w:t>
            </w:r>
            <w:proofErr w:type="gramEnd"/>
            <w:r w:rsidRPr="000B6440">
              <w:rPr>
                <w:rFonts w:asciiTheme="minorEastAsia" w:eastAsiaTheme="minorEastAsia" w:hAnsiTheme="minorEastAsia"/>
                <w:color w:val="auto"/>
              </w:rPr>
              <w:t>湯」</w:t>
            </w:r>
            <w:r w:rsidRPr="000B6440">
              <w:rPr>
                <w:rFonts w:asciiTheme="minorEastAsia" w:eastAsiaTheme="minorEastAsia" w:hAnsiTheme="minorEastAsia" w:hint="eastAsia"/>
                <w:color w:val="auto"/>
              </w:rPr>
              <w:t>亦</w:t>
            </w:r>
            <w:r w:rsidRPr="000B6440">
              <w:rPr>
                <w:rFonts w:asciiTheme="minorEastAsia" w:eastAsiaTheme="minorEastAsia" w:hAnsiTheme="minorEastAsia"/>
                <w:color w:val="auto"/>
              </w:rPr>
              <w:t>具有減低尿蛋白的功用。亞急性毒性試驗，</w:t>
            </w:r>
            <w:r w:rsidRPr="000B6440">
              <w:rPr>
                <w:rFonts w:asciiTheme="minorEastAsia" w:eastAsiaTheme="minorEastAsia" w:hAnsiTheme="minorEastAsia" w:hint="eastAsia"/>
                <w:color w:val="auto"/>
              </w:rPr>
              <w:t>正常老鼠</w:t>
            </w:r>
            <w:r w:rsidRPr="000B6440">
              <w:rPr>
                <w:rFonts w:asciiTheme="minorEastAsia" w:eastAsiaTheme="minorEastAsia" w:hAnsiTheme="minorEastAsia"/>
                <w:color w:val="auto"/>
              </w:rPr>
              <w:t>口服餵食一般使用劑量(0.8公克/公斤體重)以及高劑量(4公克/公斤體重)的</w:t>
            </w:r>
            <w:proofErr w:type="gramStart"/>
            <w:r w:rsidRPr="000B6440">
              <w:rPr>
                <w:rFonts w:asciiTheme="minorEastAsia" w:eastAsiaTheme="minorEastAsia" w:hAnsiTheme="minorEastAsia"/>
                <w:color w:val="auto"/>
              </w:rPr>
              <w:t>血府逐瘀</w:t>
            </w:r>
            <w:proofErr w:type="gramEnd"/>
            <w:r w:rsidRPr="000B6440">
              <w:rPr>
                <w:rFonts w:asciiTheme="minorEastAsia" w:eastAsiaTheme="minorEastAsia" w:hAnsiTheme="minorEastAsia"/>
                <w:color w:val="auto"/>
              </w:rPr>
              <w:t>湯連續28天，每天2次。結果</w:t>
            </w:r>
            <w:proofErr w:type="gramStart"/>
            <w:r w:rsidRPr="000B6440">
              <w:rPr>
                <w:rFonts w:asciiTheme="minorEastAsia" w:eastAsiaTheme="minorEastAsia" w:hAnsiTheme="minorEastAsia"/>
                <w:color w:val="auto"/>
              </w:rPr>
              <w:t>發現均無死亡</w:t>
            </w:r>
            <w:proofErr w:type="gramEnd"/>
            <w:r w:rsidRPr="000B6440">
              <w:rPr>
                <w:rFonts w:asciiTheme="minorEastAsia" w:eastAsiaTheme="minorEastAsia" w:hAnsiTheme="minorEastAsia" w:hint="eastAsia"/>
                <w:color w:val="auto"/>
              </w:rPr>
              <w:t>現象</w:t>
            </w:r>
            <w:r w:rsidRPr="000B6440">
              <w:rPr>
                <w:rFonts w:asciiTheme="minorEastAsia" w:eastAsiaTheme="minorEastAsia" w:hAnsiTheme="minorEastAsia"/>
                <w:color w:val="auto"/>
              </w:rPr>
              <w:t>，也不影響血糖值；高劑量下</w:t>
            </w:r>
            <w:r w:rsidRPr="000B6440">
              <w:rPr>
                <w:rFonts w:asciiTheme="minorEastAsia" w:eastAsiaTheme="minorEastAsia" w:hAnsiTheme="minorEastAsia" w:hint="eastAsia"/>
                <w:color w:val="auto"/>
              </w:rPr>
              <w:t>還</w:t>
            </w:r>
            <w:r w:rsidRPr="000B6440">
              <w:rPr>
                <w:rFonts w:asciiTheme="minorEastAsia" w:eastAsiaTheme="minorEastAsia" w:hAnsiTheme="minorEastAsia"/>
                <w:color w:val="auto"/>
              </w:rPr>
              <w:t>可以減低肝指數(減低GOT, GPT) 及改善腎臟的腎絲球過濾功能 (減低BUN-P含量)，同時可以增加母鼠紅血球(RBC)含量。</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 xml:space="preserve">(5) </w:t>
            </w:r>
            <w:r w:rsidRPr="000B6440">
              <w:rPr>
                <w:rFonts w:asciiTheme="minorEastAsia" w:eastAsiaTheme="minorEastAsia" w:hAnsiTheme="minorEastAsia"/>
                <w:color w:val="auto"/>
              </w:rPr>
              <w:t>綜合結果顯示，</w:t>
            </w:r>
            <w:proofErr w:type="gramStart"/>
            <w:r w:rsidRPr="000B6440">
              <w:rPr>
                <w:rFonts w:asciiTheme="minorEastAsia" w:eastAsiaTheme="minorEastAsia" w:hAnsiTheme="minorEastAsia"/>
                <w:color w:val="auto"/>
              </w:rPr>
              <w:t>血府逐瘀湯於</w:t>
            </w:r>
            <w:proofErr w:type="gramEnd"/>
            <w:r w:rsidRPr="000B6440">
              <w:rPr>
                <w:rFonts w:asciiTheme="minorEastAsia" w:eastAsiaTheme="minorEastAsia" w:hAnsiTheme="minorEastAsia"/>
                <w:color w:val="auto"/>
              </w:rPr>
              <w:t>五倍正常劑量下使用</w:t>
            </w:r>
            <w:r w:rsidRPr="000B6440">
              <w:rPr>
                <w:rFonts w:asciiTheme="minorEastAsia" w:eastAsiaTheme="minorEastAsia" w:hAnsiTheme="minorEastAsia" w:hint="eastAsia"/>
                <w:color w:val="auto"/>
              </w:rPr>
              <w:t>仍</w:t>
            </w:r>
            <w:r w:rsidRPr="000B6440">
              <w:rPr>
                <w:rFonts w:asciiTheme="minorEastAsia" w:eastAsiaTheme="minorEastAsia" w:hAnsiTheme="minorEastAsia"/>
                <w:color w:val="auto"/>
              </w:rPr>
              <w:t>相當安全。</w:t>
            </w:r>
          </w:p>
          <w:p w:rsidR="00437655" w:rsidRPr="000B6440" w:rsidRDefault="00437655" w:rsidP="000B6440">
            <w:pPr>
              <w:pStyle w:val="23"/>
              <w:rPr>
                <w:rFonts w:asciiTheme="minorEastAsia" w:eastAsiaTheme="minorEastAsia" w:hAnsiTheme="minorEastAsia"/>
                <w:color w:val="auto"/>
              </w:rPr>
            </w:pPr>
            <w:r w:rsidRPr="000B6440">
              <w:rPr>
                <w:rFonts w:asciiTheme="minorEastAsia" w:eastAsiaTheme="minorEastAsia" w:hAnsiTheme="minorEastAsia" w:hint="eastAsia"/>
                <w:color w:val="auto"/>
                <w:u w:val="single"/>
              </w:rPr>
              <w:t>3.3.</w:t>
            </w:r>
            <w:r w:rsidRPr="000B6440">
              <w:rPr>
                <w:rFonts w:asciiTheme="minorEastAsia" w:eastAsiaTheme="minorEastAsia" w:hAnsiTheme="minorEastAsia"/>
                <w:color w:val="auto"/>
                <w:u w:val="single"/>
              </w:rPr>
              <w:t xml:space="preserve"> </w:t>
            </w:r>
            <w:r w:rsidRPr="000B6440">
              <w:rPr>
                <w:rFonts w:asciiTheme="minorEastAsia" w:eastAsiaTheme="minorEastAsia" w:hAnsiTheme="minorEastAsia" w:hint="eastAsia"/>
                <w:color w:val="auto"/>
                <w:u w:val="single"/>
              </w:rPr>
              <w:t>進行複方中藥改善缺血性腦中風之療效與安全性評估</w:t>
            </w:r>
            <w:r w:rsidRPr="000B6440">
              <w:rPr>
                <w:rFonts w:asciiTheme="minorEastAsia" w:eastAsiaTheme="minorEastAsia" w:hAnsiTheme="minorEastAsia"/>
                <w:color w:val="auto"/>
                <w:u w:val="single"/>
              </w:rPr>
              <w:t>:</w:t>
            </w:r>
            <w:r w:rsidRPr="000B6440">
              <w:rPr>
                <w:rFonts w:asciiTheme="minorEastAsia" w:eastAsiaTheme="minorEastAsia" w:hAnsiTheme="minorEastAsia"/>
                <w:color w:val="auto"/>
              </w:rPr>
              <w:t xml:space="preserve"> </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color w:val="auto"/>
              </w:rPr>
              <w:t>(1)</w:t>
            </w:r>
            <w:r w:rsidRPr="000B6440">
              <w:rPr>
                <w:rFonts w:asciiTheme="minorEastAsia" w:eastAsiaTheme="minorEastAsia" w:hAnsiTheme="minorEastAsia" w:hint="eastAsia"/>
                <w:color w:val="auto"/>
              </w:rPr>
              <w:t xml:space="preserve"> 中藥固有成方用於中風後的治療是非常普遍的民間用途，其中用於氣虛血</w:t>
            </w:r>
            <w:proofErr w:type="gramStart"/>
            <w:r w:rsidRPr="000B6440">
              <w:rPr>
                <w:rFonts w:asciiTheme="minorEastAsia" w:eastAsiaTheme="minorEastAsia" w:hAnsiTheme="minorEastAsia" w:hint="eastAsia"/>
                <w:color w:val="auto"/>
              </w:rPr>
              <w:t>瘀</w:t>
            </w:r>
            <w:proofErr w:type="gramEnd"/>
            <w:r w:rsidRPr="000B6440">
              <w:rPr>
                <w:rFonts w:asciiTheme="minorEastAsia" w:eastAsiaTheme="minorEastAsia" w:hAnsiTheme="minorEastAsia" w:hint="eastAsia"/>
                <w:color w:val="auto"/>
              </w:rPr>
              <w:t>型中風治療成方中，補陽還五湯更是台灣在這方面使用排名第一的固有成方。</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(2) 本研究利用小鼠急性缺血型中風模式，評估中風後</w:t>
            </w:r>
            <w:r w:rsidRPr="000B6440">
              <w:rPr>
                <w:rFonts w:asciiTheme="minorEastAsia" w:eastAsiaTheme="minorEastAsia" w:hAnsiTheme="minorEastAsia"/>
                <w:color w:val="auto"/>
              </w:rPr>
              <w:t>2</w:t>
            </w:r>
            <w:r w:rsidRPr="000B6440">
              <w:rPr>
                <w:rFonts w:asciiTheme="minorEastAsia" w:eastAsiaTheme="minorEastAsia" w:hAnsiTheme="minorEastAsia" w:hint="eastAsia"/>
                <w:color w:val="auto"/>
              </w:rPr>
              <w:t>小時內口服「補陽還五湯」</w:t>
            </w:r>
            <w:r w:rsidRPr="000B6440">
              <w:rPr>
                <w:rFonts w:asciiTheme="minorEastAsia" w:eastAsiaTheme="minorEastAsia" w:hAnsiTheme="minorEastAsia"/>
                <w:color w:val="auto"/>
              </w:rPr>
              <w:t xml:space="preserve"> (</w:t>
            </w:r>
            <w:r w:rsidRPr="000B6440">
              <w:rPr>
                <w:rFonts w:asciiTheme="minorEastAsia" w:eastAsiaTheme="minorEastAsia" w:hAnsiTheme="minorEastAsia" w:hint="eastAsia"/>
                <w:color w:val="auto"/>
              </w:rPr>
              <w:t>水煎劑及科學中藥</w:t>
            </w: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之人體相當劑量</w:t>
            </w:r>
            <w:r w:rsidRPr="000B6440">
              <w:rPr>
                <w:rFonts w:asciiTheme="minorEastAsia" w:eastAsiaTheme="minorEastAsia" w:hAnsiTheme="minorEastAsia"/>
                <w:color w:val="auto"/>
              </w:rPr>
              <w:t>(1-2</w:t>
            </w:r>
            <w:r w:rsidRPr="000B6440">
              <w:rPr>
                <w:rFonts w:asciiTheme="minorEastAsia" w:eastAsiaTheme="minorEastAsia" w:hAnsiTheme="minorEastAsia" w:hint="eastAsia"/>
                <w:color w:val="auto"/>
              </w:rPr>
              <w:t>公克</w:t>
            </w: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公斤體重</w:t>
            </w: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發現七天內小鼠存活率比未治療組及對照組</w:t>
            </w:r>
            <w:r w:rsidRPr="000B6440">
              <w:rPr>
                <w:rFonts w:asciiTheme="minorEastAsia" w:eastAsiaTheme="minorEastAsia" w:hAnsiTheme="minorEastAsia"/>
                <w:color w:val="auto"/>
              </w:rPr>
              <w:t>(</w:t>
            </w:r>
            <w:proofErr w:type="gramStart"/>
            <w:r w:rsidRPr="000B6440">
              <w:rPr>
                <w:rFonts w:asciiTheme="minorEastAsia" w:eastAsiaTheme="minorEastAsia" w:hAnsiTheme="minorEastAsia" w:hint="eastAsia"/>
                <w:color w:val="auto"/>
              </w:rPr>
              <w:t>投予臨床</w:t>
            </w:r>
            <w:proofErr w:type="gramEnd"/>
            <w:r w:rsidRPr="000B6440">
              <w:rPr>
                <w:rFonts w:asciiTheme="minorEastAsia" w:eastAsiaTheme="minorEastAsia" w:hAnsiTheme="minorEastAsia" w:hint="eastAsia"/>
                <w:color w:val="auto"/>
              </w:rPr>
              <w:t>藥物--</w:t>
            </w:r>
            <w:r w:rsidRPr="000B6440">
              <w:rPr>
                <w:rFonts w:asciiTheme="minorEastAsia" w:eastAsiaTheme="minorEastAsia" w:hAnsiTheme="minorEastAsia"/>
                <w:color w:val="auto"/>
              </w:rPr>
              <w:t>TPA</w:t>
            </w:r>
            <w:r w:rsidRPr="000B6440">
              <w:rPr>
                <w:rFonts w:asciiTheme="minorEastAsia" w:eastAsiaTheme="minorEastAsia" w:hAnsiTheme="minorEastAsia" w:hint="eastAsia"/>
                <w:color w:val="auto"/>
              </w:rPr>
              <w:t>溶栓劑</w:t>
            </w: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都高出</w:t>
            </w:r>
            <w:r w:rsidRPr="000B6440">
              <w:rPr>
                <w:rFonts w:asciiTheme="minorEastAsia" w:eastAsiaTheme="minorEastAsia" w:hAnsiTheme="minorEastAsia"/>
                <w:color w:val="auto"/>
              </w:rPr>
              <w:t>20%~60%</w:t>
            </w:r>
            <w:r w:rsidRPr="000B6440">
              <w:rPr>
                <w:rFonts w:asciiTheme="minorEastAsia" w:eastAsiaTheme="minorEastAsia" w:hAnsiTheme="minorEastAsia" w:hint="eastAsia"/>
                <w:color w:val="auto"/>
              </w:rPr>
              <w:t>以上。觀察中風動物偏癱行為、活動力與腦功能缺氧</w:t>
            </w:r>
            <w:r w:rsidRPr="000B6440">
              <w:rPr>
                <w:rFonts w:asciiTheme="minorEastAsia" w:eastAsiaTheme="minorEastAsia" w:hAnsiTheme="minorEastAsia"/>
                <w:color w:val="auto"/>
              </w:rPr>
              <w:t>PET</w:t>
            </w:r>
            <w:r w:rsidRPr="000B6440">
              <w:rPr>
                <w:rFonts w:asciiTheme="minorEastAsia" w:eastAsiaTheme="minorEastAsia" w:hAnsiTheme="minorEastAsia" w:hint="eastAsia"/>
                <w:color w:val="auto"/>
              </w:rPr>
              <w:t>影像皆大幅改善。</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lastRenderedPageBreak/>
              <w:t>(3) 服用補陽還五湯</w:t>
            </w:r>
            <w:r w:rsidRPr="000B6440">
              <w:rPr>
                <w:rFonts w:asciiTheme="minorEastAsia" w:eastAsiaTheme="minorEastAsia" w:hAnsiTheme="minorEastAsia"/>
                <w:color w:val="auto"/>
              </w:rPr>
              <w:t>7</w:t>
            </w:r>
            <w:r w:rsidRPr="000B6440">
              <w:rPr>
                <w:rFonts w:asciiTheme="minorEastAsia" w:eastAsiaTheme="minorEastAsia" w:hAnsiTheme="minorEastAsia" w:hint="eastAsia"/>
                <w:color w:val="auto"/>
              </w:rPr>
              <w:t>天內對正常小鼠體重、飲食及</w:t>
            </w:r>
            <w:proofErr w:type="gramStart"/>
            <w:r w:rsidRPr="000B6440">
              <w:rPr>
                <w:rFonts w:asciiTheme="minorEastAsia" w:eastAsiaTheme="minorEastAsia" w:hAnsiTheme="minorEastAsia" w:hint="eastAsia"/>
                <w:color w:val="auto"/>
              </w:rPr>
              <w:t>活動力皆正常</w:t>
            </w:r>
            <w:proofErr w:type="gramEnd"/>
            <w:r w:rsidRPr="000B6440">
              <w:rPr>
                <w:rFonts w:asciiTheme="minorEastAsia" w:eastAsiaTheme="minorEastAsia" w:hAnsiTheme="minorEastAsia" w:hint="eastAsia"/>
                <w:color w:val="auto"/>
              </w:rPr>
              <w:t>，無明顯毒、副作用。惟高劑量組</w:t>
            </w:r>
            <w:r w:rsidRPr="000B6440">
              <w:rPr>
                <w:rFonts w:asciiTheme="minorEastAsia" w:eastAsiaTheme="minorEastAsia" w:hAnsiTheme="minorEastAsia"/>
                <w:color w:val="auto"/>
              </w:rPr>
              <w:t>(2.0</w:t>
            </w:r>
            <w:r w:rsidRPr="000B6440">
              <w:rPr>
                <w:rFonts w:asciiTheme="minorEastAsia" w:eastAsiaTheme="minorEastAsia" w:hAnsiTheme="minorEastAsia" w:hint="eastAsia"/>
                <w:color w:val="auto"/>
              </w:rPr>
              <w:t>公克</w:t>
            </w: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公斤體重</w:t>
            </w:r>
            <w:r w:rsidRPr="000B6440">
              <w:rPr>
                <w:rFonts w:asciiTheme="minorEastAsia" w:eastAsiaTheme="minorEastAsia" w:hAnsiTheme="minorEastAsia"/>
                <w:color w:val="auto"/>
              </w:rPr>
              <w:t xml:space="preserve">) </w:t>
            </w:r>
            <w:r w:rsidRPr="000B6440">
              <w:rPr>
                <w:rFonts w:asciiTheme="minorEastAsia" w:eastAsiaTheme="minorEastAsia" w:hAnsiTheme="minorEastAsia" w:hint="eastAsia"/>
                <w:color w:val="auto"/>
              </w:rPr>
              <w:t>有明顯增加小鼠活動力趨勢。</w:t>
            </w:r>
            <w:bookmarkStart w:id="1" w:name="_GoBack"/>
            <w:bookmarkEnd w:id="1"/>
          </w:p>
          <w:p w:rsidR="000B6440" w:rsidRPr="000B6440" w:rsidRDefault="00437655" w:rsidP="000B6440">
            <w:pPr>
              <w:pStyle w:val="23"/>
              <w:rPr>
                <w:rFonts w:asciiTheme="minorEastAsia" w:eastAsiaTheme="minorEastAsia" w:hAnsiTheme="minorEastAsia"/>
                <w:color w:val="auto"/>
                <w:u w:val="single"/>
              </w:rPr>
            </w:pPr>
            <w:r w:rsidRPr="000B6440">
              <w:rPr>
                <w:rFonts w:asciiTheme="minorEastAsia" w:eastAsiaTheme="minorEastAsia" w:hAnsiTheme="minorEastAsia" w:hint="eastAsia"/>
                <w:color w:val="auto"/>
                <w:u w:val="single"/>
              </w:rPr>
              <w:t>3.</w:t>
            </w:r>
            <w:r w:rsidRPr="000B6440">
              <w:rPr>
                <w:rFonts w:asciiTheme="minorEastAsia" w:eastAsiaTheme="minorEastAsia" w:hAnsiTheme="minorEastAsia"/>
                <w:color w:val="auto"/>
                <w:u w:val="single"/>
              </w:rPr>
              <w:t xml:space="preserve">4. 推動中醫藥臨床實證研究: </w:t>
            </w:r>
          </w:p>
          <w:p w:rsidR="000B6440"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color w:val="auto"/>
              </w:rPr>
              <w:t>(1)</w:t>
            </w:r>
            <w:r w:rsidRPr="000B6440">
              <w:rPr>
                <w:rFonts w:asciiTheme="minorEastAsia" w:eastAsiaTheme="minorEastAsia" w:hAnsiTheme="minorEastAsia" w:hint="eastAsia"/>
                <w:color w:val="auto"/>
              </w:rPr>
              <w:t xml:space="preserve"> </w:t>
            </w:r>
            <w:r w:rsidRPr="000B6440">
              <w:rPr>
                <w:rFonts w:asciiTheme="minorEastAsia" w:eastAsiaTheme="minorEastAsia" w:hAnsiTheme="minorEastAsia"/>
                <w:color w:val="auto"/>
              </w:rPr>
              <w:t>自103年4月起，委託進行複方中藥改善中風之臨床實證研究，是為期三年的臨床試驗計畫，</w:t>
            </w:r>
            <w:r w:rsidRPr="000B6440">
              <w:rPr>
                <w:rFonts w:asciiTheme="minorEastAsia" w:eastAsiaTheme="minorEastAsia" w:hAnsiTheme="minorEastAsia" w:hint="eastAsia"/>
                <w:color w:val="auto"/>
              </w:rPr>
              <w:t>受委託單位</w:t>
            </w:r>
            <w:r w:rsidRPr="000B6440">
              <w:rPr>
                <w:rFonts w:asciiTheme="minorEastAsia" w:eastAsiaTheme="minorEastAsia" w:hAnsiTheme="minorEastAsia"/>
                <w:color w:val="auto"/>
              </w:rPr>
              <w:t>須有中西醫團隊之整合，並在有中西醫門診之教學醫院進行。</w:t>
            </w:r>
          </w:p>
          <w:p w:rsidR="000B6440"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color w:val="auto"/>
              </w:rPr>
              <w:t>(2) 依據本案計畫，每位接受中醫藥臨床試驗治療的中風病人，都須依規定投保，除西醫常規之照護與檢測外，並訂定有至少在1個臨床試驗中心實際驗證(validate)具信度</w:t>
            </w:r>
            <w:proofErr w:type="gramStart"/>
            <w:r w:rsidRPr="000B6440">
              <w:rPr>
                <w:rFonts w:asciiTheme="minorEastAsia" w:eastAsiaTheme="minorEastAsia" w:hAnsiTheme="minorEastAsia"/>
                <w:color w:val="auto"/>
              </w:rPr>
              <w:t>及效度</w:t>
            </w:r>
            <w:proofErr w:type="gramEnd"/>
            <w:r w:rsidRPr="000B6440">
              <w:rPr>
                <w:rFonts w:asciiTheme="minorEastAsia" w:eastAsiaTheme="minorEastAsia" w:hAnsiTheme="minorEastAsia"/>
                <w:color w:val="auto"/>
              </w:rPr>
              <w:t>之中醫</w:t>
            </w:r>
            <w:proofErr w:type="gramStart"/>
            <w:r w:rsidRPr="000B6440">
              <w:rPr>
                <w:rFonts w:asciiTheme="minorEastAsia" w:eastAsiaTheme="minorEastAsia" w:hAnsiTheme="minorEastAsia"/>
                <w:color w:val="auto"/>
              </w:rPr>
              <w:t>辨證分型診斷</w:t>
            </w:r>
            <w:proofErr w:type="gramEnd"/>
            <w:r w:rsidRPr="000B6440">
              <w:rPr>
                <w:rFonts w:asciiTheme="minorEastAsia" w:eastAsiaTheme="minorEastAsia" w:hAnsiTheme="minorEastAsia"/>
                <w:color w:val="auto"/>
              </w:rPr>
              <w:t>之臨床試驗量測指標與評量表，以利研究分析。</w:t>
            </w:r>
          </w:p>
          <w:p w:rsidR="000B6440"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 xml:space="preserve">(3) </w:t>
            </w:r>
            <w:r w:rsidRPr="000B6440">
              <w:rPr>
                <w:rFonts w:asciiTheme="minorEastAsia" w:eastAsiaTheme="minorEastAsia" w:hAnsiTheme="minorEastAsia"/>
                <w:color w:val="auto"/>
              </w:rPr>
              <w:t>所使用的中藥方劑為合格GMP藥廠生產具有合法</w:t>
            </w:r>
            <w:proofErr w:type="gramStart"/>
            <w:r w:rsidRPr="000B6440">
              <w:rPr>
                <w:rFonts w:asciiTheme="minorEastAsia" w:eastAsiaTheme="minorEastAsia" w:hAnsiTheme="minorEastAsia"/>
                <w:color w:val="auto"/>
              </w:rPr>
              <w:t>藥</w:t>
            </w:r>
            <w:r w:rsidRPr="000B6440">
              <w:rPr>
                <w:rFonts w:asciiTheme="minorEastAsia" w:eastAsiaTheme="minorEastAsia" w:hAnsiTheme="minorEastAsia" w:hint="eastAsia"/>
                <w:color w:val="auto"/>
              </w:rPr>
              <w:t>證</w:t>
            </w:r>
            <w:r w:rsidRPr="000B6440">
              <w:rPr>
                <w:rFonts w:asciiTheme="minorEastAsia" w:eastAsiaTheme="minorEastAsia" w:hAnsiTheme="minorEastAsia"/>
                <w:color w:val="auto"/>
              </w:rPr>
              <w:t>且</w:t>
            </w:r>
            <w:proofErr w:type="gramEnd"/>
            <w:r w:rsidRPr="000B6440">
              <w:rPr>
                <w:rFonts w:asciiTheme="minorEastAsia" w:eastAsiaTheme="minorEastAsia" w:hAnsiTheme="minorEastAsia"/>
                <w:color w:val="auto"/>
              </w:rPr>
              <w:t>為同一批號，並</w:t>
            </w:r>
            <w:proofErr w:type="gramStart"/>
            <w:r w:rsidRPr="000B6440">
              <w:rPr>
                <w:rFonts w:asciiTheme="minorEastAsia" w:eastAsiaTheme="minorEastAsia" w:hAnsiTheme="minorEastAsia"/>
                <w:color w:val="auto"/>
              </w:rPr>
              <w:t>有主成分之</w:t>
            </w:r>
            <w:proofErr w:type="gramEnd"/>
            <w:r w:rsidRPr="000B6440">
              <w:rPr>
                <w:rFonts w:asciiTheme="minorEastAsia" w:eastAsiaTheme="minorEastAsia" w:hAnsiTheme="minorEastAsia"/>
                <w:color w:val="auto"/>
              </w:rPr>
              <w:t>HPLC資料，及</w:t>
            </w:r>
            <w:r w:rsidRPr="00B41D90">
              <w:rPr>
                <w:rFonts w:asciiTheme="minorEastAsia" w:eastAsiaTheme="minorEastAsia" w:hAnsiTheme="minorEastAsia"/>
                <w:color w:val="auto"/>
              </w:rPr>
              <w:t>動物</w:t>
            </w:r>
            <w:r w:rsidRPr="000B6440">
              <w:rPr>
                <w:rFonts w:asciiTheme="minorEastAsia" w:eastAsiaTheme="minorEastAsia" w:hAnsiTheme="minorEastAsia"/>
                <w:color w:val="auto"/>
              </w:rPr>
              <w:t>預試驗結果以支持所使用的臨床劑量。</w:t>
            </w:r>
          </w:p>
          <w:p w:rsidR="00437655" w:rsidRPr="000B6440" w:rsidRDefault="00437655" w:rsidP="000B6440">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(4) 預計於計畫執行期滿進行資料解密與數據分析。</w:t>
            </w:r>
          </w:p>
          <w:p w:rsidR="00437655" w:rsidRPr="000B6440" w:rsidRDefault="00437655" w:rsidP="00437655">
            <w:pPr>
              <w:pStyle w:val="23"/>
              <w:numPr>
                <w:ilvl w:val="0"/>
                <w:numId w:val="8"/>
              </w:numPr>
              <w:rPr>
                <w:rFonts w:asciiTheme="minorEastAsia" w:eastAsiaTheme="minorEastAsia" w:hAnsiTheme="minorEastAsia"/>
                <w:color w:val="auto"/>
              </w:rPr>
            </w:pPr>
            <w:r w:rsidRPr="000B6440">
              <w:rPr>
                <w:rFonts w:asciiTheme="minorEastAsia" w:eastAsiaTheme="minorEastAsia" w:hAnsiTheme="minorEastAsia" w:hint="eastAsia"/>
                <w:color w:val="auto"/>
              </w:rPr>
              <w:t>本所全力配合衛生福利部「</w:t>
            </w:r>
            <w:r w:rsidRPr="000B6440">
              <w:rPr>
                <w:rFonts w:asciiTheme="minorEastAsia" w:eastAsiaTheme="minorEastAsia" w:hAnsiTheme="minorEastAsia"/>
                <w:color w:val="auto"/>
              </w:rPr>
              <w:t>top-down</w:t>
            </w:r>
            <w:r w:rsidRPr="000B6440">
              <w:rPr>
                <w:rFonts w:asciiTheme="minorEastAsia" w:eastAsiaTheme="minorEastAsia" w:hAnsiTheme="minorEastAsia" w:hint="eastAsia"/>
                <w:color w:val="auto"/>
              </w:rPr>
              <w:t>」衛生醫療政策，推動中醫藥之臨床實證研究，確保中藥用藥安全與良效。藉由科技計畫之執行，轉化為成果，說明如下：</w:t>
            </w:r>
          </w:p>
          <w:p w:rsidR="00437655" w:rsidRPr="000B6440" w:rsidRDefault="00437655" w:rsidP="00437655">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(1)</w:t>
            </w:r>
            <w:r w:rsidR="00B41D90">
              <w:rPr>
                <w:rFonts w:asciiTheme="minorEastAsia" w:eastAsiaTheme="minorEastAsia" w:hAnsiTheme="minorEastAsia" w:hint="eastAsia"/>
                <w:color w:val="auto"/>
              </w:rPr>
              <w:t xml:space="preserve"> </w:t>
            </w:r>
            <w:r w:rsidRPr="000B6440">
              <w:rPr>
                <w:rFonts w:asciiTheme="minorEastAsia" w:eastAsiaTheme="minorEastAsia" w:hAnsiTheme="minorEastAsia" w:hint="eastAsia"/>
                <w:color w:val="auto"/>
              </w:rPr>
              <w:t>中藥品質研究方法之開發：完成「</w:t>
            </w:r>
            <w:r w:rsidR="00B41D90">
              <w:rPr>
                <w:rFonts w:asciiTheme="minorEastAsia" w:eastAsiaTheme="minorEastAsia" w:hAnsiTheme="minorEastAsia" w:hint="eastAsia"/>
                <w:color w:val="auto"/>
              </w:rPr>
              <w:t>臺</w:t>
            </w:r>
            <w:r w:rsidRPr="000B6440">
              <w:rPr>
                <w:rFonts w:asciiTheme="minorEastAsia" w:eastAsiaTheme="minorEastAsia" w:hAnsiTheme="minorEastAsia" w:hint="eastAsia"/>
                <w:color w:val="auto"/>
              </w:rPr>
              <w:t>灣</w:t>
            </w:r>
            <w:r w:rsidR="00B41D90">
              <w:rPr>
                <w:rFonts w:asciiTheme="minorEastAsia" w:eastAsiaTheme="minorEastAsia" w:hAnsiTheme="minorEastAsia" w:hint="eastAsia"/>
                <w:color w:val="auto"/>
              </w:rPr>
              <w:t>中</w:t>
            </w:r>
            <w:r w:rsidRPr="000B6440">
              <w:rPr>
                <w:rFonts w:asciiTheme="minorEastAsia" w:eastAsiaTheme="minorEastAsia" w:hAnsiTheme="minorEastAsia" w:hint="eastAsia"/>
                <w:color w:val="auto"/>
              </w:rPr>
              <w:t>藥典</w:t>
            </w: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原中華藥典</w:t>
            </w:r>
            <w:r w:rsidRPr="000B6440">
              <w:rPr>
                <w:rFonts w:asciiTheme="minorEastAsia" w:eastAsiaTheme="minorEastAsia" w:hAnsiTheme="minorEastAsia"/>
                <w:color w:val="auto"/>
              </w:rPr>
              <w:t>)</w:t>
            </w:r>
            <w:r w:rsidRPr="000B6440">
              <w:rPr>
                <w:rFonts w:asciiTheme="minorEastAsia" w:eastAsiaTheme="minorEastAsia" w:hAnsiTheme="minorEastAsia" w:hint="eastAsia"/>
                <w:color w:val="auto"/>
              </w:rPr>
              <w:t>」新增藥材之品質研究，建置中藥材指標及活性成分之指紋圖譜資料庫。</w:t>
            </w:r>
          </w:p>
          <w:p w:rsidR="00437655" w:rsidRPr="000B6440" w:rsidRDefault="00437655" w:rsidP="00437655">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w:t>
            </w:r>
            <w:r w:rsidRPr="000B6440">
              <w:rPr>
                <w:rFonts w:asciiTheme="minorEastAsia" w:eastAsiaTheme="minorEastAsia" w:hAnsiTheme="minorEastAsia"/>
                <w:color w:val="auto"/>
              </w:rPr>
              <w:t>2</w:t>
            </w:r>
            <w:r w:rsidRPr="000B6440">
              <w:rPr>
                <w:rFonts w:asciiTheme="minorEastAsia" w:eastAsiaTheme="minorEastAsia" w:hAnsiTheme="minorEastAsia" w:hint="eastAsia"/>
                <w:color w:val="auto"/>
              </w:rPr>
              <w:t>)</w:t>
            </w:r>
            <w:r w:rsidR="00B41D90">
              <w:rPr>
                <w:rFonts w:asciiTheme="minorEastAsia" w:eastAsiaTheme="minorEastAsia" w:hAnsiTheme="minorEastAsia" w:hint="eastAsia"/>
                <w:color w:val="auto"/>
              </w:rPr>
              <w:t xml:space="preserve"> </w:t>
            </w:r>
            <w:r w:rsidRPr="000B6440">
              <w:rPr>
                <w:rFonts w:asciiTheme="minorEastAsia" w:eastAsiaTheme="minorEastAsia" w:hAnsiTheme="minorEastAsia" w:hint="eastAsia"/>
                <w:color w:val="auto"/>
              </w:rPr>
              <w:t>中醫藥輔助治療之實證研究：藉由系統性的研究中醫藥輔助治療的效用，提供政府醫藥部門訂定相關政策時的依據。</w:t>
            </w:r>
          </w:p>
          <w:p w:rsidR="00437655" w:rsidRPr="000B6440" w:rsidRDefault="00437655" w:rsidP="00437655">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t>(3)</w:t>
            </w:r>
            <w:r w:rsidR="00B41D90">
              <w:rPr>
                <w:rFonts w:asciiTheme="minorEastAsia" w:eastAsiaTheme="minorEastAsia" w:hAnsiTheme="minorEastAsia" w:hint="eastAsia"/>
                <w:color w:val="auto"/>
              </w:rPr>
              <w:t xml:space="preserve"> </w:t>
            </w:r>
            <w:r w:rsidRPr="000B6440">
              <w:rPr>
                <w:rFonts w:asciiTheme="minorEastAsia" w:eastAsiaTheme="minorEastAsia" w:hAnsiTheme="minorEastAsia" w:hint="eastAsia"/>
                <w:color w:val="auto"/>
              </w:rPr>
              <w:t>中西藥交互作用之研究：其結果可以提供臨床用藥參考，確保民眾安全的合併使用中西藥。</w:t>
            </w:r>
          </w:p>
          <w:p w:rsidR="00437655" w:rsidRPr="000B6440" w:rsidRDefault="00437655" w:rsidP="00437655">
            <w:pPr>
              <w:pStyle w:val="23"/>
              <w:ind w:left="300" w:hangingChars="150" w:hanging="300"/>
              <w:rPr>
                <w:rFonts w:asciiTheme="minorEastAsia" w:eastAsiaTheme="minorEastAsia" w:hAnsiTheme="minorEastAsia"/>
                <w:color w:val="auto"/>
              </w:rPr>
            </w:pPr>
            <w:r w:rsidRPr="000B6440">
              <w:rPr>
                <w:rFonts w:asciiTheme="minorEastAsia" w:eastAsiaTheme="minorEastAsia" w:hAnsiTheme="minorEastAsia" w:hint="eastAsia"/>
                <w:color w:val="auto"/>
              </w:rPr>
              <w:lastRenderedPageBreak/>
              <w:t>(4)</w:t>
            </w:r>
            <w:r w:rsidR="00B41D90">
              <w:rPr>
                <w:rFonts w:asciiTheme="minorEastAsia" w:eastAsiaTheme="minorEastAsia" w:hAnsiTheme="minorEastAsia" w:hint="eastAsia"/>
                <w:color w:val="auto"/>
              </w:rPr>
              <w:t xml:space="preserve"> </w:t>
            </w:r>
            <w:r w:rsidRPr="000B6440">
              <w:rPr>
                <w:rFonts w:asciiTheme="minorEastAsia" w:eastAsiaTheme="minorEastAsia" w:hAnsiTheme="minorEastAsia" w:hint="eastAsia"/>
                <w:color w:val="auto"/>
              </w:rPr>
              <w:t>強化本土中草藥之開發與應用：以提升本土中草藥應用價值，不但減少對</w:t>
            </w:r>
            <w:proofErr w:type="gramStart"/>
            <w:r w:rsidRPr="000B6440">
              <w:rPr>
                <w:rFonts w:asciiTheme="minorEastAsia" w:eastAsiaTheme="minorEastAsia" w:hAnsiTheme="minorEastAsia" w:hint="eastAsia"/>
                <w:color w:val="auto"/>
              </w:rPr>
              <w:t>大陸藥源之</w:t>
            </w:r>
            <w:proofErr w:type="gramEnd"/>
            <w:r w:rsidRPr="000B6440">
              <w:rPr>
                <w:rFonts w:asciiTheme="minorEastAsia" w:eastAsiaTheme="minorEastAsia" w:hAnsiTheme="minorEastAsia" w:hint="eastAsia"/>
                <w:color w:val="auto"/>
              </w:rPr>
              <w:t>依賴性，更可以促進台灣農業發展。</w:t>
            </w:r>
          </w:p>
        </w:tc>
      </w:tr>
    </w:tbl>
    <w:p w:rsidR="000D2E1D" w:rsidRPr="00FA4C3D" w:rsidRDefault="000D2E1D" w:rsidP="00C1617B">
      <w:pPr>
        <w:rPr>
          <w:rFonts w:ascii="Arial" w:hAnsi="Arial" w:cs="Arial"/>
          <w:color w:val="000000"/>
        </w:rPr>
      </w:pPr>
    </w:p>
    <w:sectPr w:rsidR="000D2E1D" w:rsidRPr="00FA4C3D" w:rsidSect="009D2A17">
      <w:headerReference w:type="default" r:id="rId8"/>
      <w:footerReference w:type="even" r:id="rId9"/>
      <w:footerReference w:type="default" r:id="rId10"/>
      <w:pgSz w:w="11906" w:h="16838"/>
      <w:pgMar w:top="1531" w:right="1803" w:bottom="1361" w:left="1803" w:header="964" w:footer="907" w:gutter="0"/>
      <w:pgNumType w:start="5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5F" w:rsidRDefault="00A4005F">
      <w:r>
        <w:separator/>
      </w:r>
    </w:p>
  </w:endnote>
  <w:endnote w:type="continuationSeparator" w:id="0">
    <w:p w:rsidR="00A4005F" w:rsidRDefault="00A40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imesNewRoman">
    <w:altName w:val="Arial Unicode MS"/>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96" w:rsidRDefault="00935ED2">
    <w:pPr>
      <w:pStyle w:val="a9"/>
      <w:framePr w:wrap="around" w:vAnchor="text" w:hAnchor="margin" w:xAlign="center" w:y="1"/>
      <w:rPr>
        <w:rStyle w:val="af2"/>
      </w:rPr>
    </w:pPr>
    <w:r>
      <w:rPr>
        <w:rStyle w:val="af2"/>
      </w:rPr>
      <w:fldChar w:fldCharType="begin"/>
    </w:r>
    <w:r w:rsidR="00BA0996">
      <w:rPr>
        <w:rStyle w:val="af2"/>
      </w:rPr>
      <w:instrText xml:space="preserve">PAGE  </w:instrText>
    </w:r>
    <w:r>
      <w:rPr>
        <w:rStyle w:val="af2"/>
      </w:rPr>
      <w:fldChar w:fldCharType="end"/>
    </w:r>
  </w:p>
  <w:p w:rsidR="00BA0996" w:rsidRDefault="00BA099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96" w:rsidRDefault="00935ED2" w:rsidP="00BC4BB5">
    <w:pPr>
      <w:pStyle w:val="a9"/>
      <w:framePr w:wrap="around" w:vAnchor="text" w:hAnchor="margin" w:xAlign="center" w:y="285"/>
      <w:rPr>
        <w:rStyle w:val="af2"/>
      </w:rPr>
    </w:pPr>
    <w:r>
      <w:rPr>
        <w:rStyle w:val="af2"/>
      </w:rPr>
      <w:fldChar w:fldCharType="begin"/>
    </w:r>
    <w:r w:rsidR="00BA0996">
      <w:rPr>
        <w:rStyle w:val="af2"/>
      </w:rPr>
      <w:instrText xml:space="preserve">PAGE  </w:instrText>
    </w:r>
    <w:r>
      <w:rPr>
        <w:rStyle w:val="af2"/>
      </w:rPr>
      <w:fldChar w:fldCharType="separate"/>
    </w:r>
    <w:r w:rsidR="00C111B3">
      <w:rPr>
        <w:rStyle w:val="af2"/>
        <w:noProof/>
      </w:rPr>
      <w:t>54</w:t>
    </w:r>
    <w:r>
      <w:rPr>
        <w:rStyle w:val="af2"/>
      </w:rPr>
      <w:fldChar w:fldCharType="end"/>
    </w:r>
  </w:p>
  <w:p w:rsidR="00BA0996" w:rsidRDefault="00BA09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5F" w:rsidRDefault="00A4005F">
      <w:r>
        <w:separator/>
      </w:r>
    </w:p>
  </w:footnote>
  <w:footnote w:type="continuationSeparator" w:id="0">
    <w:p w:rsidR="00A4005F" w:rsidRDefault="00A40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96" w:rsidRPr="005917E1" w:rsidRDefault="005917E1" w:rsidP="005A12DC">
    <w:pPr>
      <w:pStyle w:val="ab"/>
      <w:spacing w:line="0" w:lineRule="atLeast"/>
      <w:ind w:leftChars="-300" w:left="-720" w:rightChars="-364" w:right="-874" w:firstLineChars="56" w:firstLine="179"/>
      <w:jc w:val="center"/>
      <w:rPr>
        <w:rFonts w:ascii="標楷體" w:eastAsia="標楷體" w:hAnsi="標楷體"/>
        <w:b/>
        <w:sz w:val="27"/>
        <w:szCs w:val="27"/>
      </w:rPr>
    </w:pPr>
    <w:r w:rsidRPr="005917E1">
      <w:rPr>
        <w:rFonts w:ascii="標楷體" w:eastAsia="標楷體" w:hAnsi="標楷體" w:hint="eastAsia"/>
        <w:b/>
        <w:sz w:val="32"/>
      </w:rPr>
      <w:t>衛生福利部國家中醫藥研究所</w:t>
    </w:r>
    <w:r w:rsidR="00BA0996" w:rsidRPr="005917E1">
      <w:rPr>
        <w:rFonts w:ascii="標楷體" w:eastAsia="標楷體" w:hAnsi="標楷體" w:hint="eastAsia"/>
        <w:b/>
        <w:sz w:val="32"/>
      </w:rPr>
      <w:cr/>
      <w:t xml:space="preserve"> </w:t>
    </w:r>
    <w:r w:rsidR="00BA0996" w:rsidRPr="005917E1">
      <w:rPr>
        <w:rFonts w:ascii="標楷體" w:eastAsia="標楷體" w:hAnsi="標楷體" w:hint="eastAsia"/>
        <w:b/>
        <w:sz w:val="27"/>
        <w:szCs w:val="27"/>
      </w:rPr>
      <w:t>立法院審議中央政府總預算案所提決議、附帶決議及注意辦理事項辦理情形報告表</w:t>
    </w:r>
  </w:p>
  <w:p w:rsidR="00BA0996" w:rsidRPr="005917E1" w:rsidRDefault="00BA0996">
    <w:pPr>
      <w:pStyle w:val="ab"/>
      <w:spacing w:before="120" w:line="0" w:lineRule="atLeast"/>
      <w:ind w:left="220" w:hanging="220"/>
      <w:jc w:val="center"/>
      <w:rPr>
        <w:rFonts w:ascii="標楷體" w:eastAsia="標楷體" w:hAnsi="標楷體" w:cs="Arial"/>
      </w:rPr>
    </w:pPr>
    <w:r w:rsidRPr="005917E1">
      <w:rPr>
        <w:rFonts w:ascii="標楷體" w:eastAsia="標楷體" w:hAnsi="標楷體" w:cs="Arial"/>
      </w:rPr>
      <w:t>中華民國</w:t>
    </w:r>
    <w:proofErr w:type="gramStart"/>
    <w:r w:rsidRPr="005917E1">
      <w:rPr>
        <w:rFonts w:ascii="標楷體" w:eastAsia="標楷體" w:hAnsi="標楷體" w:cs="Arial" w:hint="eastAsia"/>
      </w:rPr>
      <w:t>104</w:t>
    </w:r>
    <w:proofErr w:type="gramEnd"/>
    <w:r w:rsidRPr="005917E1">
      <w:rPr>
        <w:rFonts w:ascii="標楷體" w:eastAsia="標楷體" w:hAnsi="標楷體" w:cs="Arial"/>
      </w:rPr>
      <w:t>年度</w:t>
    </w:r>
  </w:p>
  <w:p w:rsidR="00BA0996" w:rsidRDefault="00BA099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BB5"/>
    <w:multiLevelType w:val="hybridMultilevel"/>
    <w:tmpl w:val="AF2EFB5C"/>
    <w:lvl w:ilvl="0" w:tplc="D6B0D234">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91925"/>
    <w:multiLevelType w:val="hybridMultilevel"/>
    <w:tmpl w:val="19DC95EE"/>
    <w:lvl w:ilvl="0" w:tplc="5984B068">
      <w:start w:val="1"/>
      <w:numFmt w:val="decimal"/>
      <w:lvlText w:val="%1."/>
      <w:lvlJc w:val="left"/>
      <w:pPr>
        <w:ind w:left="227" w:hanging="284"/>
      </w:pPr>
      <w:rPr>
        <w:rFonts w:ascii="Arial" w:hAnsi="Arial" w:cs="Arial" w:hint="default"/>
      </w:rPr>
    </w:lvl>
    <w:lvl w:ilvl="1" w:tplc="04090019">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nsid w:val="0B08663F"/>
    <w:multiLevelType w:val="hybridMultilevel"/>
    <w:tmpl w:val="6E9E32E2"/>
    <w:lvl w:ilvl="0" w:tplc="856603DC">
      <w:start w:val="7"/>
      <w:numFmt w:val="decimal"/>
      <w:pStyle w:val="1"/>
      <w:lvlText w:val="第%1項"/>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1012E1"/>
    <w:multiLevelType w:val="multilevel"/>
    <w:tmpl w:val="B9A20B02"/>
    <w:lvl w:ilvl="0">
      <w:start w:val="1"/>
      <w:numFmt w:val="decimal"/>
      <w:pStyle w:val="a"/>
      <w:lvlText w:val="%1."/>
      <w:lvlJc w:val="left"/>
      <w:pPr>
        <w:ind w:left="480" w:hanging="338"/>
      </w:pPr>
      <w:rPr>
        <w:rFonts w:hint="default"/>
        <w:b w:val="0"/>
        <w:bCs w:val="0"/>
        <w:i w:val="0"/>
        <w:iCs w:val="0"/>
        <w:caps w:val="0"/>
        <w:smallCaps w:val="0"/>
        <w:strike w:val="0"/>
        <w:dstrike w:val="0"/>
        <w:outline w:val="0"/>
        <w:shadow w:val="0"/>
        <w:emboss w:val="0"/>
        <w:imprint w:val="0"/>
        <w:vanish w:val="0"/>
        <w:color w:val="auto"/>
        <w:spacing w:val="0"/>
        <w:position w:val="0"/>
        <w:sz w:val="32"/>
        <w:szCs w:val="32"/>
        <w:u w:val="none"/>
        <w:effect w:val="none"/>
        <w:vertAlign w:val="baseline"/>
        <w:em w:val="none"/>
      </w:rPr>
    </w:lvl>
    <w:lvl w:ilvl="1">
      <w:start w:val="1"/>
      <w:numFmt w:val="decimal"/>
      <w:pStyle w:val="a0"/>
      <w:lvlText w:val="(%2)"/>
      <w:lvlJc w:val="left"/>
      <w:pPr>
        <w:tabs>
          <w:tab w:val="num" w:pos="0"/>
        </w:tabs>
        <w:ind w:left="960" w:hanging="480"/>
      </w:pPr>
      <w:rPr>
        <w:rFonts w:ascii="Arial" w:hAnsi="Arial" w:cs="Arial"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2">
      <w:start w:val="1"/>
      <w:numFmt w:val="upperRoman"/>
      <w:pStyle w:val="a1"/>
      <w:lvlText w:val="%3."/>
      <w:lvlJc w:val="right"/>
      <w:pPr>
        <w:tabs>
          <w:tab w:val="num" w:pos="1474"/>
        </w:tabs>
        <w:ind w:left="1191" w:firstLine="170"/>
      </w:pPr>
      <w:rPr>
        <w:rFonts w:cs="Times New Roman" w:hint="eastAsia"/>
        <w:color w:val="auto"/>
      </w:rPr>
    </w:lvl>
    <w:lvl w:ilvl="3">
      <w:start w:val="1"/>
      <w:numFmt w:val="lowerRoman"/>
      <w:lvlText w:val="%4."/>
      <w:lvlJc w:val="left"/>
      <w:pPr>
        <w:tabs>
          <w:tab w:val="num" w:pos="1920"/>
        </w:tabs>
        <w:ind w:left="1920" w:hanging="480"/>
      </w:pPr>
      <w:rPr>
        <w:rFonts w:cs="Times New Roman" w:hint="eastAsia"/>
      </w:rPr>
    </w:lvl>
    <w:lvl w:ilvl="4">
      <w:start w:val="1"/>
      <w:numFmt w:val="lowerRoman"/>
      <w:lvlText w:val="%5."/>
      <w:lvlJc w:val="left"/>
      <w:pPr>
        <w:tabs>
          <w:tab w:val="num" w:pos="1985"/>
        </w:tabs>
        <w:ind w:left="2400" w:hanging="415"/>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
    <w:nsid w:val="4B0552B8"/>
    <w:multiLevelType w:val="hybridMultilevel"/>
    <w:tmpl w:val="AF2EFB5C"/>
    <w:lvl w:ilvl="0" w:tplc="D6B0D234">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443D34"/>
    <w:multiLevelType w:val="hybridMultilevel"/>
    <w:tmpl w:val="2E025016"/>
    <w:lvl w:ilvl="0" w:tplc="BB1476C4">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F9657C6"/>
    <w:multiLevelType w:val="hybridMultilevel"/>
    <w:tmpl w:val="AF2EFB5C"/>
    <w:lvl w:ilvl="0" w:tplc="D6B0D234">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5E2890"/>
    <w:multiLevelType w:val="hybridMultilevel"/>
    <w:tmpl w:val="AF2EFB5C"/>
    <w:lvl w:ilvl="0" w:tplc="D6B0D234">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5"/>
  </w:num>
  <w:num w:numId="5">
    <w:abstractNumId w:val="3"/>
  </w:num>
  <w:num w:numId="6">
    <w:abstractNumId w:val="7"/>
  </w:num>
  <w:num w:numId="7">
    <w:abstractNumId w:val="4"/>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stylePaneFormatFilter w:val="3F01"/>
  <w:defaultTabStop w:val="50"/>
  <w:drawingGridHorizontalSpacing w:val="12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7D9"/>
    <w:rsid w:val="0000023E"/>
    <w:rsid w:val="000017E5"/>
    <w:rsid w:val="00001AD0"/>
    <w:rsid w:val="00002101"/>
    <w:rsid w:val="000027C2"/>
    <w:rsid w:val="0000476B"/>
    <w:rsid w:val="00006DE9"/>
    <w:rsid w:val="0001023F"/>
    <w:rsid w:val="00010716"/>
    <w:rsid w:val="00010CAD"/>
    <w:rsid w:val="000117DB"/>
    <w:rsid w:val="00021902"/>
    <w:rsid w:val="00024BBB"/>
    <w:rsid w:val="00027B5B"/>
    <w:rsid w:val="00034AF8"/>
    <w:rsid w:val="000411F7"/>
    <w:rsid w:val="00042C61"/>
    <w:rsid w:val="00046C8E"/>
    <w:rsid w:val="00050499"/>
    <w:rsid w:val="00050BF0"/>
    <w:rsid w:val="00053257"/>
    <w:rsid w:val="00055496"/>
    <w:rsid w:val="00056542"/>
    <w:rsid w:val="000631BB"/>
    <w:rsid w:val="000633B8"/>
    <w:rsid w:val="000674D4"/>
    <w:rsid w:val="0007254C"/>
    <w:rsid w:val="00072A28"/>
    <w:rsid w:val="00074696"/>
    <w:rsid w:val="000749F4"/>
    <w:rsid w:val="0007761F"/>
    <w:rsid w:val="0008396B"/>
    <w:rsid w:val="00084097"/>
    <w:rsid w:val="00084603"/>
    <w:rsid w:val="0008511E"/>
    <w:rsid w:val="000851B2"/>
    <w:rsid w:val="0008561A"/>
    <w:rsid w:val="0009008F"/>
    <w:rsid w:val="00092ADF"/>
    <w:rsid w:val="00094EF6"/>
    <w:rsid w:val="000968B6"/>
    <w:rsid w:val="00097A15"/>
    <w:rsid w:val="000A149F"/>
    <w:rsid w:val="000A6392"/>
    <w:rsid w:val="000A67DF"/>
    <w:rsid w:val="000A7F77"/>
    <w:rsid w:val="000B0190"/>
    <w:rsid w:val="000B091D"/>
    <w:rsid w:val="000B4827"/>
    <w:rsid w:val="000B6440"/>
    <w:rsid w:val="000C2DD1"/>
    <w:rsid w:val="000D186F"/>
    <w:rsid w:val="000D2E1D"/>
    <w:rsid w:val="000D3404"/>
    <w:rsid w:val="000D40E8"/>
    <w:rsid w:val="000D66D3"/>
    <w:rsid w:val="000D732D"/>
    <w:rsid w:val="000E1733"/>
    <w:rsid w:val="000E2699"/>
    <w:rsid w:val="000E2A4F"/>
    <w:rsid w:val="000E3A1D"/>
    <w:rsid w:val="000E6106"/>
    <w:rsid w:val="000E623E"/>
    <w:rsid w:val="000E787A"/>
    <w:rsid w:val="000F2056"/>
    <w:rsid w:val="000F4FD4"/>
    <w:rsid w:val="000F7DC3"/>
    <w:rsid w:val="00100AA2"/>
    <w:rsid w:val="00104043"/>
    <w:rsid w:val="00106D07"/>
    <w:rsid w:val="00110960"/>
    <w:rsid w:val="001123F2"/>
    <w:rsid w:val="00117175"/>
    <w:rsid w:val="001203A8"/>
    <w:rsid w:val="001225E6"/>
    <w:rsid w:val="00125802"/>
    <w:rsid w:val="00127105"/>
    <w:rsid w:val="00127A14"/>
    <w:rsid w:val="00130203"/>
    <w:rsid w:val="001314A0"/>
    <w:rsid w:val="001324F3"/>
    <w:rsid w:val="0013427F"/>
    <w:rsid w:val="0013751A"/>
    <w:rsid w:val="001435AC"/>
    <w:rsid w:val="0014747D"/>
    <w:rsid w:val="00150775"/>
    <w:rsid w:val="001540E8"/>
    <w:rsid w:val="0015573A"/>
    <w:rsid w:val="001558F4"/>
    <w:rsid w:val="00166670"/>
    <w:rsid w:val="00170673"/>
    <w:rsid w:val="001706C1"/>
    <w:rsid w:val="00172D6A"/>
    <w:rsid w:val="00172FF5"/>
    <w:rsid w:val="00173457"/>
    <w:rsid w:val="0017411C"/>
    <w:rsid w:val="00174F17"/>
    <w:rsid w:val="00177F10"/>
    <w:rsid w:val="00181308"/>
    <w:rsid w:val="00187247"/>
    <w:rsid w:val="0019085C"/>
    <w:rsid w:val="00192D52"/>
    <w:rsid w:val="00195D4E"/>
    <w:rsid w:val="0019643C"/>
    <w:rsid w:val="00197D36"/>
    <w:rsid w:val="001A3F1D"/>
    <w:rsid w:val="001A4ACF"/>
    <w:rsid w:val="001A7C26"/>
    <w:rsid w:val="001B286A"/>
    <w:rsid w:val="001B3578"/>
    <w:rsid w:val="001B57D5"/>
    <w:rsid w:val="001B6257"/>
    <w:rsid w:val="001C0CF0"/>
    <w:rsid w:val="001C561C"/>
    <w:rsid w:val="001C5A8C"/>
    <w:rsid w:val="001D1335"/>
    <w:rsid w:val="001D2347"/>
    <w:rsid w:val="001D3C37"/>
    <w:rsid w:val="001D448B"/>
    <w:rsid w:val="001D4C9E"/>
    <w:rsid w:val="001D7F83"/>
    <w:rsid w:val="001E0772"/>
    <w:rsid w:val="001E13A8"/>
    <w:rsid w:val="001E6195"/>
    <w:rsid w:val="002125E1"/>
    <w:rsid w:val="0021391D"/>
    <w:rsid w:val="00215B21"/>
    <w:rsid w:val="002177A4"/>
    <w:rsid w:val="00223447"/>
    <w:rsid w:val="0022436F"/>
    <w:rsid w:val="00224E07"/>
    <w:rsid w:val="00230EFD"/>
    <w:rsid w:val="00232406"/>
    <w:rsid w:val="00232F94"/>
    <w:rsid w:val="00234DFA"/>
    <w:rsid w:val="00236543"/>
    <w:rsid w:val="00237479"/>
    <w:rsid w:val="00241930"/>
    <w:rsid w:val="00242B1B"/>
    <w:rsid w:val="00245DB9"/>
    <w:rsid w:val="0024613C"/>
    <w:rsid w:val="00247881"/>
    <w:rsid w:val="0025115D"/>
    <w:rsid w:val="00254F17"/>
    <w:rsid w:val="00255515"/>
    <w:rsid w:val="00257108"/>
    <w:rsid w:val="0026120F"/>
    <w:rsid w:val="00263738"/>
    <w:rsid w:val="00265C58"/>
    <w:rsid w:val="00272DF6"/>
    <w:rsid w:val="00275BF0"/>
    <w:rsid w:val="00275D1A"/>
    <w:rsid w:val="00280664"/>
    <w:rsid w:val="00280EEF"/>
    <w:rsid w:val="0028295A"/>
    <w:rsid w:val="00284658"/>
    <w:rsid w:val="0028576D"/>
    <w:rsid w:val="00287751"/>
    <w:rsid w:val="0029016F"/>
    <w:rsid w:val="002909E2"/>
    <w:rsid w:val="0029151A"/>
    <w:rsid w:val="002920F5"/>
    <w:rsid w:val="00292C21"/>
    <w:rsid w:val="00292C4C"/>
    <w:rsid w:val="002978DF"/>
    <w:rsid w:val="002A4AD2"/>
    <w:rsid w:val="002A4C6F"/>
    <w:rsid w:val="002A6BC1"/>
    <w:rsid w:val="002B1D95"/>
    <w:rsid w:val="002B38DC"/>
    <w:rsid w:val="002B637A"/>
    <w:rsid w:val="002C0CFD"/>
    <w:rsid w:val="002C2DD8"/>
    <w:rsid w:val="002C4665"/>
    <w:rsid w:val="002C4E9B"/>
    <w:rsid w:val="002C5DBA"/>
    <w:rsid w:val="002D2447"/>
    <w:rsid w:val="002D2569"/>
    <w:rsid w:val="002D28E3"/>
    <w:rsid w:val="002D4BC2"/>
    <w:rsid w:val="002D5A4E"/>
    <w:rsid w:val="002D6AED"/>
    <w:rsid w:val="002D709A"/>
    <w:rsid w:val="002E1A62"/>
    <w:rsid w:val="002E1DCB"/>
    <w:rsid w:val="002E33D7"/>
    <w:rsid w:val="002E44D5"/>
    <w:rsid w:val="002E5AD9"/>
    <w:rsid w:val="002E5B82"/>
    <w:rsid w:val="002F0BCB"/>
    <w:rsid w:val="002F3BBA"/>
    <w:rsid w:val="00302687"/>
    <w:rsid w:val="00303256"/>
    <w:rsid w:val="00312176"/>
    <w:rsid w:val="0031573B"/>
    <w:rsid w:val="003235FE"/>
    <w:rsid w:val="0032459B"/>
    <w:rsid w:val="00325CE3"/>
    <w:rsid w:val="00327880"/>
    <w:rsid w:val="00331D56"/>
    <w:rsid w:val="003326D2"/>
    <w:rsid w:val="00334094"/>
    <w:rsid w:val="003349D8"/>
    <w:rsid w:val="00342BBB"/>
    <w:rsid w:val="0034351C"/>
    <w:rsid w:val="0034466E"/>
    <w:rsid w:val="00345BEE"/>
    <w:rsid w:val="003518D3"/>
    <w:rsid w:val="00351E2A"/>
    <w:rsid w:val="003525F0"/>
    <w:rsid w:val="0035420B"/>
    <w:rsid w:val="00357EF3"/>
    <w:rsid w:val="003616CB"/>
    <w:rsid w:val="00362E14"/>
    <w:rsid w:val="0036405D"/>
    <w:rsid w:val="00370B40"/>
    <w:rsid w:val="0038054B"/>
    <w:rsid w:val="00384D8D"/>
    <w:rsid w:val="00385DCA"/>
    <w:rsid w:val="00385E6F"/>
    <w:rsid w:val="00393E5D"/>
    <w:rsid w:val="00393F1A"/>
    <w:rsid w:val="00394CBF"/>
    <w:rsid w:val="00394D25"/>
    <w:rsid w:val="003959B5"/>
    <w:rsid w:val="00396D02"/>
    <w:rsid w:val="003A2CAD"/>
    <w:rsid w:val="003A3020"/>
    <w:rsid w:val="003A44A1"/>
    <w:rsid w:val="003A4F44"/>
    <w:rsid w:val="003A5EFD"/>
    <w:rsid w:val="003A68DF"/>
    <w:rsid w:val="003A6F31"/>
    <w:rsid w:val="003B3B08"/>
    <w:rsid w:val="003B4FF8"/>
    <w:rsid w:val="003C307F"/>
    <w:rsid w:val="003C3E31"/>
    <w:rsid w:val="003C65AC"/>
    <w:rsid w:val="003C67A0"/>
    <w:rsid w:val="003C6C8F"/>
    <w:rsid w:val="003E760D"/>
    <w:rsid w:val="003E77F2"/>
    <w:rsid w:val="003F342B"/>
    <w:rsid w:val="003F5446"/>
    <w:rsid w:val="003F604D"/>
    <w:rsid w:val="003F754C"/>
    <w:rsid w:val="00405CA4"/>
    <w:rsid w:val="00406686"/>
    <w:rsid w:val="004068CE"/>
    <w:rsid w:val="00412460"/>
    <w:rsid w:val="00414376"/>
    <w:rsid w:val="0041477D"/>
    <w:rsid w:val="00415A21"/>
    <w:rsid w:val="00416B98"/>
    <w:rsid w:val="004175CE"/>
    <w:rsid w:val="00420979"/>
    <w:rsid w:val="0042221B"/>
    <w:rsid w:val="004354A9"/>
    <w:rsid w:val="00435F0E"/>
    <w:rsid w:val="00436A08"/>
    <w:rsid w:val="0043762E"/>
    <w:rsid w:val="00437655"/>
    <w:rsid w:val="0043792E"/>
    <w:rsid w:val="004434A6"/>
    <w:rsid w:val="0044533B"/>
    <w:rsid w:val="00454453"/>
    <w:rsid w:val="00454730"/>
    <w:rsid w:val="00455040"/>
    <w:rsid w:val="00462852"/>
    <w:rsid w:val="00462C6D"/>
    <w:rsid w:val="00462F19"/>
    <w:rsid w:val="00472D04"/>
    <w:rsid w:val="00473760"/>
    <w:rsid w:val="00476DB9"/>
    <w:rsid w:val="00477831"/>
    <w:rsid w:val="004840DB"/>
    <w:rsid w:val="004852E9"/>
    <w:rsid w:val="00492609"/>
    <w:rsid w:val="00493CA9"/>
    <w:rsid w:val="004953B1"/>
    <w:rsid w:val="00495BCC"/>
    <w:rsid w:val="0049695B"/>
    <w:rsid w:val="00497054"/>
    <w:rsid w:val="004A075D"/>
    <w:rsid w:val="004A10EA"/>
    <w:rsid w:val="004A38E3"/>
    <w:rsid w:val="004A4E23"/>
    <w:rsid w:val="004A748C"/>
    <w:rsid w:val="004A7BED"/>
    <w:rsid w:val="004B156C"/>
    <w:rsid w:val="004B2981"/>
    <w:rsid w:val="004B2AC1"/>
    <w:rsid w:val="004B519A"/>
    <w:rsid w:val="004B5244"/>
    <w:rsid w:val="004B629C"/>
    <w:rsid w:val="004C1A95"/>
    <w:rsid w:val="004C1B52"/>
    <w:rsid w:val="004C1FC8"/>
    <w:rsid w:val="004C3235"/>
    <w:rsid w:val="004C56B7"/>
    <w:rsid w:val="004C6299"/>
    <w:rsid w:val="004D172D"/>
    <w:rsid w:val="004D31A2"/>
    <w:rsid w:val="004D5CDA"/>
    <w:rsid w:val="004D77DD"/>
    <w:rsid w:val="004E2940"/>
    <w:rsid w:val="004E2982"/>
    <w:rsid w:val="004E3BAF"/>
    <w:rsid w:val="004E45F6"/>
    <w:rsid w:val="004E4AD4"/>
    <w:rsid w:val="004E686E"/>
    <w:rsid w:val="004E7C34"/>
    <w:rsid w:val="004F1069"/>
    <w:rsid w:val="004F1B13"/>
    <w:rsid w:val="004F1B33"/>
    <w:rsid w:val="004F3DF0"/>
    <w:rsid w:val="004F4FEB"/>
    <w:rsid w:val="004F680D"/>
    <w:rsid w:val="00500729"/>
    <w:rsid w:val="005026CE"/>
    <w:rsid w:val="00506E1A"/>
    <w:rsid w:val="005101AA"/>
    <w:rsid w:val="0051147A"/>
    <w:rsid w:val="00514283"/>
    <w:rsid w:val="00520ACB"/>
    <w:rsid w:val="00520D98"/>
    <w:rsid w:val="00521393"/>
    <w:rsid w:val="0052239D"/>
    <w:rsid w:val="00522424"/>
    <w:rsid w:val="00522D4F"/>
    <w:rsid w:val="005337F7"/>
    <w:rsid w:val="00537C60"/>
    <w:rsid w:val="00540A44"/>
    <w:rsid w:val="005436E6"/>
    <w:rsid w:val="00546742"/>
    <w:rsid w:val="0054725A"/>
    <w:rsid w:val="00550FBE"/>
    <w:rsid w:val="00552621"/>
    <w:rsid w:val="00554C29"/>
    <w:rsid w:val="0055560D"/>
    <w:rsid w:val="00561415"/>
    <w:rsid w:val="00562518"/>
    <w:rsid w:val="00562AFE"/>
    <w:rsid w:val="00563025"/>
    <w:rsid w:val="00570C70"/>
    <w:rsid w:val="00571D2F"/>
    <w:rsid w:val="0057487D"/>
    <w:rsid w:val="005755E1"/>
    <w:rsid w:val="00576CC9"/>
    <w:rsid w:val="00581E38"/>
    <w:rsid w:val="005828DA"/>
    <w:rsid w:val="005837CE"/>
    <w:rsid w:val="00584ACD"/>
    <w:rsid w:val="005850BB"/>
    <w:rsid w:val="00587A92"/>
    <w:rsid w:val="005917E1"/>
    <w:rsid w:val="005933CB"/>
    <w:rsid w:val="005955C0"/>
    <w:rsid w:val="0059677A"/>
    <w:rsid w:val="005A03AD"/>
    <w:rsid w:val="005A12DC"/>
    <w:rsid w:val="005A3D18"/>
    <w:rsid w:val="005B42D3"/>
    <w:rsid w:val="005B5755"/>
    <w:rsid w:val="005B6F55"/>
    <w:rsid w:val="005B797B"/>
    <w:rsid w:val="005C05C5"/>
    <w:rsid w:val="005C4D27"/>
    <w:rsid w:val="005C4E45"/>
    <w:rsid w:val="005C6D54"/>
    <w:rsid w:val="005C7A1D"/>
    <w:rsid w:val="005D0A3A"/>
    <w:rsid w:val="005D21E5"/>
    <w:rsid w:val="005D309B"/>
    <w:rsid w:val="005D3900"/>
    <w:rsid w:val="005D7D4E"/>
    <w:rsid w:val="005E0173"/>
    <w:rsid w:val="005E3B1E"/>
    <w:rsid w:val="005E4BF8"/>
    <w:rsid w:val="005E6267"/>
    <w:rsid w:val="005E6690"/>
    <w:rsid w:val="005E6D0B"/>
    <w:rsid w:val="005E7262"/>
    <w:rsid w:val="005E72D5"/>
    <w:rsid w:val="005F1C04"/>
    <w:rsid w:val="005F4807"/>
    <w:rsid w:val="005F53E9"/>
    <w:rsid w:val="005F6376"/>
    <w:rsid w:val="0060103B"/>
    <w:rsid w:val="00601A8A"/>
    <w:rsid w:val="00604C02"/>
    <w:rsid w:val="00605B32"/>
    <w:rsid w:val="00605F05"/>
    <w:rsid w:val="00606AB6"/>
    <w:rsid w:val="00610047"/>
    <w:rsid w:val="006116C4"/>
    <w:rsid w:val="006148E9"/>
    <w:rsid w:val="00617145"/>
    <w:rsid w:val="0061781D"/>
    <w:rsid w:val="0061781F"/>
    <w:rsid w:val="00617BC8"/>
    <w:rsid w:val="006236F2"/>
    <w:rsid w:val="00625F3D"/>
    <w:rsid w:val="00626ABB"/>
    <w:rsid w:val="0062703D"/>
    <w:rsid w:val="00627662"/>
    <w:rsid w:val="00633BDF"/>
    <w:rsid w:val="00633DC6"/>
    <w:rsid w:val="006377E5"/>
    <w:rsid w:val="00637C14"/>
    <w:rsid w:val="0064000D"/>
    <w:rsid w:val="00640A57"/>
    <w:rsid w:val="006441A8"/>
    <w:rsid w:val="00650A59"/>
    <w:rsid w:val="0065179E"/>
    <w:rsid w:val="006535EA"/>
    <w:rsid w:val="006540D7"/>
    <w:rsid w:val="00655623"/>
    <w:rsid w:val="006556BE"/>
    <w:rsid w:val="00656475"/>
    <w:rsid w:val="006607D8"/>
    <w:rsid w:val="0066224A"/>
    <w:rsid w:val="006652F0"/>
    <w:rsid w:val="00666586"/>
    <w:rsid w:val="006704C8"/>
    <w:rsid w:val="00670CE7"/>
    <w:rsid w:val="00672DF5"/>
    <w:rsid w:val="00673241"/>
    <w:rsid w:val="00677309"/>
    <w:rsid w:val="00687F4A"/>
    <w:rsid w:val="006A0085"/>
    <w:rsid w:val="006A3A12"/>
    <w:rsid w:val="006A48E4"/>
    <w:rsid w:val="006A64B7"/>
    <w:rsid w:val="006B038C"/>
    <w:rsid w:val="006B33E3"/>
    <w:rsid w:val="006B5BAB"/>
    <w:rsid w:val="006B5F0B"/>
    <w:rsid w:val="006C1331"/>
    <w:rsid w:val="006C37C1"/>
    <w:rsid w:val="006C5D29"/>
    <w:rsid w:val="006E5679"/>
    <w:rsid w:val="006E6B2E"/>
    <w:rsid w:val="006F3C87"/>
    <w:rsid w:val="006F50AF"/>
    <w:rsid w:val="006F64E8"/>
    <w:rsid w:val="007004F3"/>
    <w:rsid w:val="007032A7"/>
    <w:rsid w:val="007033AB"/>
    <w:rsid w:val="007037AE"/>
    <w:rsid w:val="007054CF"/>
    <w:rsid w:val="0070622F"/>
    <w:rsid w:val="007070B8"/>
    <w:rsid w:val="007114CD"/>
    <w:rsid w:val="0071636F"/>
    <w:rsid w:val="00722817"/>
    <w:rsid w:val="0072593D"/>
    <w:rsid w:val="00726384"/>
    <w:rsid w:val="007268D8"/>
    <w:rsid w:val="007269BF"/>
    <w:rsid w:val="00727239"/>
    <w:rsid w:val="00734166"/>
    <w:rsid w:val="007356EC"/>
    <w:rsid w:val="00735E5C"/>
    <w:rsid w:val="0073678A"/>
    <w:rsid w:val="007420DE"/>
    <w:rsid w:val="007439C0"/>
    <w:rsid w:val="007454B9"/>
    <w:rsid w:val="00755C6D"/>
    <w:rsid w:val="0075697F"/>
    <w:rsid w:val="00757A50"/>
    <w:rsid w:val="0076015B"/>
    <w:rsid w:val="00760DE8"/>
    <w:rsid w:val="00761894"/>
    <w:rsid w:val="007622C8"/>
    <w:rsid w:val="0076377A"/>
    <w:rsid w:val="00765592"/>
    <w:rsid w:val="00771A3F"/>
    <w:rsid w:val="00775ED1"/>
    <w:rsid w:val="00776D12"/>
    <w:rsid w:val="007814EB"/>
    <w:rsid w:val="00783BD7"/>
    <w:rsid w:val="007976FC"/>
    <w:rsid w:val="00797DED"/>
    <w:rsid w:val="007B2101"/>
    <w:rsid w:val="007B403A"/>
    <w:rsid w:val="007B4B5E"/>
    <w:rsid w:val="007B4CA4"/>
    <w:rsid w:val="007B7A05"/>
    <w:rsid w:val="007C0C51"/>
    <w:rsid w:val="007C222D"/>
    <w:rsid w:val="007C7377"/>
    <w:rsid w:val="007D0B63"/>
    <w:rsid w:val="007D3AB2"/>
    <w:rsid w:val="007D5CC7"/>
    <w:rsid w:val="007D7C42"/>
    <w:rsid w:val="007E1B69"/>
    <w:rsid w:val="007E42EA"/>
    <w:rsid w:val="007E4618"/>
    <w:rsid w:val="007E4DFE"/>
    <w:rsid w:val="007E550B"/>
    <w:rsid w:val="007E6A30"/>
    <w:rsid w:val="007E7DA3"/>
    <w:rsid w:val="007F1536"/>
    <w:rsid w:val="007F1C98"/>
    <w:rsid w:val="007F498E"/>
    <w:rsid w:val="00801912"/>
    <w:rsid w:val="0080191D"/>
    <w:rsid w:val="008076ED"/>
    <w:rsid w:val="00811392"/>
    <w:rsid w:val="008160E6"/>
    <w:rsid w:val="008200AD"/>
    <w:rsid w:val="00825462"/>
    <w:rsid w:val="00825FDF"/>
    <w:rsid w:val="008301C1"/>
    <w:rsid w:val="00834D20"/>
    <w:rsid w:val="008358B4"/>
    <w:rsid w:val="00835A8A"/>
    <w:rsid w:val="00836910"/>
    <w:rsid w:val="00843866"/>
    <w:rsid w:val="00846955"/>
    <w:rsid w:val="00853B45"/>
    <w:rsid w:val="008575DF"/>
    <w:rsid w:val="00860E4F"/>
    <w:rsid w:val="00862A0C"/>
    <w:rsid w:val="00870026"/>
    <w:rsid w:val="00870EF7"/>
    <w:rsid w:val="00874386"/>
    <w:rsid w:val="00874DC0"/>
    <w:rsid w:val="008755E5"/>
    <w:rsid w:val="00876E39"/>
    <w:rsid w:val="00885DA0"/>
    <w:rsid w:val="00892462"/>
    <w:rsid w:val="00892694"/>
    <w:rsid w:val="00893A78"/>
    <w:rsid w:val="00893DE1"/>
    <w:rsid w:val="00897A6A"/>
    <w:rsid w:val="008A0381"/>
    <w:rsid w:val="008A287C"/>
    <w:rsid w:val="008A3C4A"/>
    <w:rsid w:val="008A4D74"/>
    <w:rsid w:val="008B015C"/>
    <w:rsid w:val="008B0A2F"/>
    <w:rsid w:val="008B3611"/>
    <w:rsid w:val="008B4B56"/>
    <w:rsid w:val="008B7C49"/>
    <w:rsid w:val="008B7D89"/>
    <w:rsid w:val="008C145D"/>
    <w:rsid w:val="008C35A0"/>
    <w:rsid w:val="008C3609"/>
    <w:rsid w:val="008C3FB1"/>
    <w:rsid w:val="008C5556"/>
    <w:rsid w:val="008C6263"/>
    <w:rsid w:val="008D68C9"/>
    <w:rsid w:val="008D724B"/>
    <w:rsid w:val="008D7A9C"/>
    <w:rsid w:val="008E05E4"/>
    <w:rsid w:val="008E11E1"/>
    <w:rsid w:val="008E4730"/>
    <w:rsid w:val="008E653F"/>
    <w:rsid w:val="008E6BC9"/>
    <w:rsid w:val="008E7998"/>
    <w:rsid w:val="008F0F1C"/>
    <w:rsid w:val="008F43A8"/>
    <w:rsid w:val="00900018"/>
    <w:rsid w:val="00901B06"/>
    <w:rsid w:val="00903828"/>
    <w:rsid w:val="0090399E"/>
    <w:rsid w:val="00906A38"/>
    <w:rsid w:val="00910728"/>
    <w:rsid w:val="00911912"/>
    <w:rsid w:val="00912BD7"/>
    <w:rsid w:val="009145D3"/>
    <w:rsid w:val="0091538D"/>
    <w:rsid w:val="00915545"/>
    <w:rsid w:val="00916413"/>
    <w:rsid w:val="00916F27"/>
    <w:rsid w:val="00920230"/>
    <w:rsid w:val="00922166"/>
    <w:rsid w:val="009235FC"/>
    <w:rsid w:val="009236AD"/>
    <w:rsid w:val="00924676"/>
    <w:rsid w:val="00933D66"/>
    <w:rsid w:val="00934D63"/>
    <w:rsid w:val="00935209"/>
    <w:rsid w:val="00935ED2"/>
    <w:rsid w:val="00940F31"/>
    <w:rsid w:val="00942460"/>
    <w:rsid w:val="009448C9"/>
    <w:rsid w:val="009476B9"/>
    <w:rsid w:val="009512E6"/>
    <w:rsid w:val="009546BF"/>
    <w:rsid w:val="00954D6D"/>
    <w:rsid w:val="00955086"/>
    <w:rsid w:val="00960751"/>
    <w:rsid w:val="00961909"/>
    <w:rsid w:val="00963B04"/>
    <w:rsid w:val="00971334"/>
    <w:rsid w:val="00973F97"/>
    <w:rsid w:val="00975170"/>
    <w:rsid w:val="00981E30"/>
    <w:rsid w:val="009826E1"/>
    <w:rsid w:val="0098538B"/>
    <w:rsid w:val="0098601E"/>
    <w:rsid w:val="0098601F"/>
    <w:rsid w:val="00986D18"/>
    <w:rsid w:val="009873C4"/>
    <w:rsid w:val="00993352"/>
    <w:rsid w:val="00994905"/>
    <w:rsid w:val="00997693"/>
    <w:rsid w:val="009A1F5A"/>
    <w:rsid w:val="009A273C"/>
    <w:rsid w:val="009A71A0"/>
    <w:rsid w:val="009B19AF"/>
    <w:rsid w:val="009C0CF2"/>
    <w:rsid w:val="009C20EC"/>
    <w:rsid w:val="009C5733"/>
    <w:rsid w:val="009C6289"/>
    <w:rsid w:val="009C7FB8"/>
    <w:rsid w:val="009D1ABD"/>
    <w:rsid w:val="009D2650"/>
    <w:rsid w:val="009D2A17"/>
    <w:rsid w:val="009E1007"/>
    <w:rsid w:val="009E1D4D"/>
    <w:rsid w:val="009E2407"/>
    <w:rsid w:val="009E2D6B"/>
    <w:rsid w:val="009E31A9"/>
    <w:rsid w:val="009E4072"/>
    <w:rsid w:val="009E4FE7"/>
    <w:rsid w:val="009E6DB9"/>
    <w:rsid w:val="009F2BDF"/>
    <w:rsid w:val="009F6E7E"/>
    <w:rsid w:val="00A018AB"/>
    <w:rsid w:val="00A01E21"/>
    <w:rsid w:val="00A04475"/>
    <w:rsid w:val="00A13C3B"/>
    <w:rsid w:val="00A14832"/>
    <w:rsid w:val="00A150D1"/>
    <w:rsid w:val="00A20049"/>
    <w:rsid w:val="00A21852"/>
    <w:rsid w:val="00A23139"/>
    <w:rsid w:val="00A25B02"/>
    <w:rsid w:val="00A302E7"/>
    <w:rsid w:val="00A315E8"/>
    <w:rsid w:val="00A32A6F"/>
    <w:rsid w:val="00A3480A"/>
    <w:rsid w:val="00A3591A"/>
    <w:rsid w:val="00A35B05"/>
    <w:rsid w:val="00A37722"/>
    <w:rsid w:val="00A4005F"/>
    <w:rsid w:val="00A43C57"/>
    <w:rsid w:val="00A46C33"/>
    <w:rsid w:val="00A51A29"/>
    <w:rsid w:val="00A53D3E"/>
    <w:rsid w:val="00A55EFC"/>
    <w:rsid w:val="00A579B4"/>
    <w:rsid w:val="00A60C51"/>
    <w:rsid w:val="00A652D1"/>
    <w:rsid w:val="00A74022"/>
    <w:rsid w:val="00A75110"/>
    <w:rsid w:val="00A86C7B"/>
    <w:rsid w:val="00A86E30"/>
    <w:rsid w:val="00A87067"/>
    <w:rsid w:val="00A961B5"/>
    <w:rsid w:val="00AA1046"/>
    <w:rsid w:val="00AB15D3"/>
    <w:rsid w:val="00AB17B3"/>
    <w:rsid w:val="00AB34CD"/>
    <w:rsid w:val="00AB4E79"/>
    <w:rsid w:val="00AB51F9"/>
    <w:rsid w:val="00AC235B"/>
    <w:rsid w:val="00AC36A9"/>
    <w:rsid w:val="00AC510B"/>
    <w:rsid w:val="00AC79BD"/>
    <w:rsid w:val="00AC7BC3"/>
    <w:rsid w:val="00AD4B63"/>
    <w:rsid w:val="00AD4F02"/>
    <w:rsid w:val="00AD7347"/>
    <w:rsid w:val="00AD735F"/>
    <w:rsid w:val="00AE152E"/>
    <w:rsid w:val="00AE5C6A"/>
    <w:rsid w:val="00AE5D4A"/>
    <w:rsid w:val="00AF6281"/>
    <w:rsid w:val="00AF7688"/>
    <w:rsid w:val="00AF768B"/>
    <w:rsid w:val="00B03D65"/>
    <w:rsid w:val="00B05C67"/>
    <w:rsid w:val="00B05D11"/>
    <w:rsid w:val="00B07AB0"/>
    <w:rsid w:val="00B147CE"/>
    <w:rsid w:val="00B14B43"/>
    <w:rsid w:val="00B14E89"/>
    <w:rsid w:val="00B16F1E"/>
    <w:rsid w:val="00B23AF1"/>
    <w:rsid w:val="00B244A6"/>
    <w:rsid w:val="00B24552"/>
    <w:rsid w:val="00B24DAF"/>
    <w:rsid w:val="00B26244"/>
    <w:rsid w:val="00B31FDD"/>
    <w:rsid w:val="00B41D90"/>
    <w:rsid w:val="00B4676D"/>
    <w:rsid w:val="00B46DB8"/>
    <w:rsid w:val="00B50E70"/>
    <w:rsid w:val="00B51AF9"/>
    <w:rsid w:val="00B52501"/>
    <w:rsid w:val="00B54DA4"/>
    <w:rsid w:val="00B56B5C"/>
    <w:rsid w:val="00B56BF3"/>
    <w:rsid w:val="00B57178"/>
    <w:rsid w:val="00B60900"/>
    <w:rsid w:val="00B61ACF"/>
    <w:rsid w:val="00B6208E"/>
    <w:rsid w:val="00B63142"/>
    <w:rsid w:val="00B643E9"/>
    <w:rsid w:val="00B65481"/>
    <w:rsid w:val="00B65A2F"/>
    <w:rsid w:val="00B675FA"/>
    <w:rsid w:val="00B67FA2"/>
    <w:rsid w:val="00B71442"/>
    <w:rsid w:val="00B77579"/>
    <w:rsid w:val="00B832D8"/>
    <w:rsid w:val="00B86642"/>
    <w:rsid w:val="00B87080"/>
    <w:rsid w:val="00B9202B"/>
    <w:rsid w:val="00B92737"/>
    <w:rsid w:val="00B9511A"/>
    <w:rsid w:val="00B965C1"/>
    <w:rsid w:val="00BA0996"/>
    <w:rsid w:val="00BA4285"/>
    <w:rsid w:val="00BA5346"/>
    <w:rsid w:val="00BA5762"/>
    <w:rsid w:val="00BA6E5A"/>
    <w:rsid w:val="00BB548C"/>
    <w:rsid w:val="00BB5D9E"/>
    <w:rsid w:val="00BC0FC9"/>
    <w:rsid w:val="00BC244E"/>
    <w:rsid w:val="00BC4BB5"/>
    <w:rsid w:val="00BC6A64"/>
    <w:rsid w:val="00BD083E"/>
    <w:rsid w:val="00BD085F"/>
    <w:rsid w:val="00BD76F0"/>
    <w:rsid w:val="00BE5FAA"/>
    <w:rsid w:val="00BE6398"/>
    <w:rsid w:val="00BE71E3"/>
    <w:rsid w:val="00BE7FC1"/>
    <w:rsid w:val="00BF0342"/>
    <w:rsid w:val="00BF37AE"/>
    <w:rsid w:val="00BF5B40"/>
    <w:rsid w:val="00BF6017"/>
    <w:rsid w:val="00BF6E95"/>
    <w:rsid w:val="00BF756D"/>
    <w:rsid w:val="00C026BF"/>
    <w:rsid w:val="00C027FE"/>
    <w:rsid w:val="00C02AC7"/>
    <w:rsid w:val="00C03D8B"/>
    <w:rsid w:val="00C04977"/>
    <w:rsid w:val="00C0599D"/>
    <w:rsid w:val="00C07022"/>
    <w:rsid w:val="00C10764"/>
    <w:rsid w:val="00C111B3"/>
    <w:rsid w:val="00C135D0"/>
    <w:rsid w:val="00C13E30"/>
    <w:rsid w:val="00C144A5"/>
    <w:rsid w:val="00C16024"/>
    <w:rsid w:val="00C1617B"/>
    <w:rsid w:val="00C20B16"/>
    <w:rsid w:val="00C2420A"/>
    <w:rsid w:val="00C35994"/>
    <w:rsid w:val="00C35E85"/>
    <w:rsid w:val="00C37271"/>
    <w:rsid w:val="00C375D7"/>
    <w:rsid w:val="00C45D47"/>
    <w:rsid w:val="00C460B9"/>
    <w:rsid w:val="00C50873"/>
    <w:rsid w:val="00C51E8A"/>
    <w:rsid w:val="00C52B08"/>
    <w:rsid w:val="00C52E41"/>
    <w:rsid w:val="00C55D03"/>
    <w:rsid w:val="00C56DA6"/>
    <w:rsid w:val="00C63FDC"/>
    <w:rsid w:val="00C70DC5"/>
    <w:rsid w:val="00C71F40"/>
    <w:rsid w:val="00C82717"/>
    <w:rsid w:val="00C83BE8"/>
    <w:rsid w:val="00C857D1"/>
    <w:rsid w:val="00C85B96"/>
    <w:rsid w:val="00C85BF5"/>
    <w:rsid w:val="00C8790C"/>
    <w:rsid w:val="00C87B7C"/>
    <w:rsid w:val="00C87C20"/>
    <w:rsid w:val="00C91022"/>
    <w:rsid w:val="00C913DF"/>
    <w:rsid w:val="00C91438"/>
    <w:rsid w:val="00C914FF"/>
    <w:rsid w:val="00C92A4E"/>
    <w:rsid w:val="00C95FFF"/>
    <w:rsid w:val="00CA2604"/>
    <w:rsid w:val="00CA356B"/>
    <w:rsid w:val="00CA5370"/>
    <w:rsid w:val="00CB1FF0"/>
    <w:rsid w:val="00CB68E4"/>
    <w:rsid w:val="00CB7B40"/>
    <w:rsid w:val="00CC59D6"/>
    <w:rsid w:val="00CD244C"/>
    <w:rsid w:val="00CD2646"/>
    <w:rsid w:val="00CD39F6"/>
    <w:rsid w:val="00CD4C68"/>
    <w:rsid w:val="00CE410D"/>
    <w:rsid w:val="00CE612B"/>
    <w:rsid w:val="00CE662C"/>
    <w:rsid w:val="00CF39CF"/>
    <w:rsid w:val="00CF3DB9"/>
    <w:rsid w:val="00CF6588"/>
    <w:rsid w:val="00CF7D70"/>
    <w:rsid w:val="00D00B71"/>
    <w:rsid w:val="00D03FA2"/>
    <w:rsid w:val="00D06EA7"/>
    <w:rsid w:val="00D07192"/>
    <w:rsid w:val="00D1117A"/>
    <w:rsid w:val="00D118AC"/>
    <w:rsid w:val="00D13D80"/>
    <w:rsid w:val="00D17E13"/>
    <w:rsid w:val="00D263CB"/>
    <w:rsid w:val="00D27170"/>
    <w:rsid w:val="00D30BC9"/>
    <w:rsid w:val="00D31AA0"/>
    <w:rsid w:val="00D359A9"/>
    <w:rsid w:val="00D3738C"/>
    <w:rsid w:val="00D403D8"/>
    <w:rsid w:val="00D42D7A"/>
    <w:rsid w:val="00D43C38"/>
    <w:rsid w:val="00D45C77"/>
    <w:rsid w:val="00D532A1"/>
    <w:rsid w:val="00D54132"/>
    <w:rsid w:val="00D554EA"/>
    <w:rsid w:val="00D569B6"/>
    <w:rsid w:val="00D62712"/>
    <w:rsid w:val="00D62E4D"/>
    <w:rsid w:val="00D63691"/>
    <w:rsid w:val="00D702C3"/>
    <w:rsid w:val="00D73CC2"/>
    <w:rsid w:val="00D760D6"/>
    <w:rsid w:val="00D768B7"/>
    <w:rsid w:val="00D778A8"/>
    <w:rsid w:val="00D77B82"/>
    <w:rsid w:val="00D802C9"/>
    <w:rsid w:val="00D80658"/>
    <w:rsid w:val="00D80D52"/>
    <w:rsid w:val="00D81A94"/>
    <w:rsid w:val="00D84F63"/>
    <w:rsid w:val="00D864F3"/>
    <w:rsid w:val="00D866E2"/>
    <w:rsid w:val="00D87451"/>
    <w:rsid w:val="00D912DB"/>
    <w:rsid w:val="00D92F86"/>
    <w:rsid w:val="00D931E8"/>
    <w:rsid w:val="00D97A22"/>
    <w:rsid w:val="00DA0CB1"/>
    <w:rsid w:val="00DA4B4A"/>
    <w:rsid w:val="00DA4DAC"/>
    <w:rsid w:val="00DB133E"/>
    <w:rsid w:val="00DB24BE"/>
    <w:rsid w:val="00DB5CA9"/>
    <w:rsid w:val="00DB7384"/>
    <w:rsid w:val="00DC08D3"/>
    <w:rsid w:val="00DD13B3"/>
    <w:rsid w:val="00DD2FE1"/>
    <w:rsid w:val="00DD48C6"/>
    <w:rsid w:val="00DD66CD"/>
    <w:rsid w:val="00DD6F59"/>
    <w:rsid w:val="00DE09C6"/>
    <w:rsid w:val="00DE441E"/>
    <w:rsid w:val="00DE63E8"/>
    <w:rsid w:val="00DF03DA"/>
    <w:rsid w:val="00DF190F"/>
    <w:rsid w:val="00DF1DC1"/>
    <w:rsid w:val="00DF2BD6"/>
    <w:rsid w:val="00DF735D"/>
    <w:rsid w:val="00E05053"/>
    <w:rsid w:val="00E06E55"/>
    <w:rsid w:val="00E10E14"/>
    <w:rsid w:val="00E1126F"/>
    <w:rsid w:val="00E117A1"/>
    <w:rsid w:val="00E147D9"/>
    <w:rsid w:val="00E156DB"/>
    <w:rsid w:val="00E15A2E"/>
    <w:rsid w:val="00E166DA"/>
    <w:rsid w:val="00E20BAF"/>
    <w:rsid w:val="00E22ABB"/>
    <w:rsid w:val="00E231AB"/>
    <w:rsid w:val="00E246B0"/>
    <w:rsid w:val="00E24E97"/>
    <w:rsid w:val="00E25264"/>
    <w:rsid w:val="00E31834"/>
    <w:rsid w:val="00E34FB6"/>
    <w:rsid w:val="00E35E06"/>
    <w:rsid w:val="00E36064"/>
    <w:rsid w:val="00E4027A"/>
    <w:rsid w:val="00E42803"/>
    <w:rsid w:val="00E42829"/>
    <w:rsid w:val="00E44146"/>
    <w:rsid w:val="00E45B94"/>
    <w:rsid w:val="00E501D5"/>
    <w:rsid w:val="00E52571"/>
    <w:rsid w:val="00E5364D"/>
    <w:rsid w:val="00E53E4A"/>
    <w:rsid w:val="00E5519F"/>
    <w:rsid w:val="00E55FB8"/>
    <w:rsid w:val="00E6045D"/>
    <w:rsid w:val="00E6155D"/>
    <w:rsid w:val="00E6578F"/>
    <w:rsid w:val="00E65C85"/>
    <w:rsid w:val="00E67E55"/>
    <w:rsid w:val="00E70B0C"/>
    <w:rsid w:val="00E74E50"/>
    <w:rsid w:val="00E769DC"/>
    <w:rsid w:val="00E80771"/>
    <w:rsid w:val="00E82FB5"/>
    <w:rsid w:val="00E846DA"/>
    <w:rsid w:val="00E854A2"/>
    <w:rsid w:val="00E858A2"/>
    <w:rsid w:val="00E92061"/>
    <w:rsid w:val="00E9222D"/>
    <w:rsid w:val="00E92F12"/>
    <w:rsid w:val="00EA0D82"/>
    <w:rsid w:val="00EA2384"/>
    <w:rsid w:val="00EA4FA1"/>
    <w:rsid w:val="00EA6D93"/>
    <w:rsid w:val="00EB078E"/>
    <w:rsid w:val="00EB3B6C"/>
    <w:rsid w:val="00EB3F09"/>
    <w:rsid w:val="00EB70AC"/>
    <w:rsid w:val="00EC1C30"/>
    <w:rsid w:val="00EC29B7"/>
    <w:rsid w:val="00EC4FC2"/>
    <w:rsid w:val="00EC4FDE"/>
    <w:rsid w:val="00EC5795"/>
    <w:rsid w:val="00ED6634"/>
    <w:rsid w:val="00ED7F3A"/>
    <w:rsid w:val="00EE1FD9"/>
    <w:rsid w:val="00EE216F"/>
    <w:rsid w:val="00EE7EFC"/>
    <w:rsid w:val="00EF0448"/>
    <w:rsid w:val="00EF3D37"/>
    <w:rsid w:val="00F04A66"/>
    <w:rsid w:val="00F06F29"/>
    <w:rsid w:val="00F13A9D"/>
    <w:rsid w:val="00F14249"/>
    <w:rsid w:val="00F14F82"/>
    <w:rsid w:val="00F2353B"/>
    <w:rsid w:val="00F32046"/>
    <w:rsid w:val="00F321AA"/>
    <w:rsid w:val="00F32AF6"/>
    <w:rsid w:val="00F32F9F"/>
    <w:rsid w:val="00F44E69"/>
    <w:rsid w:val="00F52814"/>
    <w:rsid w:val="00F535AC"/>
    <w:rsid w:val="00F538E9"/>
    <w:rsid w:val="00F55151"/>
    <w:rsid w:val="00F61068"/>
    <w:rsid w:val="00F65AF5"/>
    <w:rsid w:val="00F67F1E"/>
    <w:rsid w:val="00F7078C"/>
    <w:rsid w:val="00F70B91"/>
    <w:rsid w:val="00F72DD8"/>
    <w:rsid w:val="00F7427D"/>
    <w:rsid w:val="00F7432A"/>
    <w:rsid w:val="00F76B8B"/>
    <w:rsid w:val="00F77686"/>
    <w:rsid w:val="00F77F32"/>
    <w:rsid w:val="00F8081C"/>
    <w:rsid w:val="00F821E5"/>
    <w:rsid w:val="00F84B8C"/>
    <w:rsid w:val="00F90DF1"/>
    <w:rsid w:val="00F91BDE"/>
    <w:rsid w:val="00F94139"/>
    <w:rsid w:val="00F95131"/>
    <w:rsid w:val="00F96C42"/>
    <w:rsid w:val="00F978AC"/>
    <w:rsid w:val="00FA01BE"/>
    <w:rsid w:val="00FA2436"/>
    <w:rsid w:val="00FA4C3D"/>
    <w:rsid w:val="00FA5C53"/>
    <w:rsid w:val="00FA78F1"/>
    <w:rsid w:val="00FA7CA2"/>
    <w:rsid w:val="00FB1741"/>
    <w:rsid w:val="00FC2782"/>
    <w:rsid w:val="00FC314E"/>
    <w:rsid w:val="00FC3717"/>
    <w:rsid w:val="00FD1C4D"/>
    <w:rsid w:val="00FD4D12"/>
    <w:rsid w:val="00FD4F8D"/>
    <w:rsid w:val="00FD66AE"/>
    <w:rsid w:val="00FE071C"/>
    <w:rsid w:val="00FE16EE"/>
    <w:rsid w:val="00FE218B"/>
    <w:rsid w:val="00FE3ACE"/>
    <w:rsid w:val="00FE403E"/>
    <w:rsid w:val="00FE5984"/>
    <w:rsid w:val="00FE7663"/>
    <w:rsid w:val="00FF0459"/>
    <w:rsid w:val="00FF3638"/>
    <w:rsid w:val="00FF3986"/>
    <w:rsid w:val="00FF3B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309"/>
    <w:pPr>
      <w:widowControl w:val="0"/>
    </w:pPr>
    <w:rPr>
      <w:kern w:val="2"/>
      <w:sz w:val="24"/>
      <w:szCs w:val="24"/>
    </w:rPr>
  </w:style>
  <w:style w:type="paragraph" w:styleId="2">
    <w:name w:val="heading 2"/>
    <w:basedOn w:val="a2"/>
    <w:link w:val="20"/>
    <w:qFormat/>
    <w:rsid w:val="00677309"/>
    <w:pPr>
      <w:widowControl/>
      <w:spacing w:before="100" w:beforeAutospacing="1" w:after="100" w:afterAutospacing="1"/>
      <w:outlineLvl w:val="1"/>
    </w:pPr>
    <w:rPr>
      <w:rFonts w:ascii="新細明體" w:hAnsi="新細明體" w:cs="新細明體"/>
      <w:b/>
      <w:bCs/>
      <w:kern w:val="0"/>
      <w:sz w:val="36"/>
      <w:szCs w:val="36"/>
      <w:lang w:bidi="hi-I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67730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一)"/>
    <w:basedOn w:val="a2"/>
    <w:rsid w:val="00677309"/>
    <w:pPr>
      <w:spacing w:line="340" w:lineRule="exact"/>
      <w:ind w:left="100" w:hangingChars="100" w:hanging="100"/>
      <w:jc w:val="both"/>
    </w:pPr>
    <w:rPr>
      <w:rFonts w:ascii="標楷體" w:eastAsia="標楷體" w:hAnsi="標楷體"/>
      <w:sz w:val="22"/>
      <w:szCs w:val="22"/>
    </w:rPr>
  </w:style>
  <w:style w:type="paragraph" w:styleId="a8">
    <w:name w:val="header"/>
    <w:basedOn w:val="a2"/>
    <w:rsid w:val="00677309"/>
    <w:pPr>
      <w:tabs>
        <w:tab w:val="center" w:pos="4153"/>
        <w:tab w:val="right" w:pos="8306"/>
      </w:tabs>
      <w:snapToGrid w:val="0"/>
    </w:pPr>
    <w:rPr>
      <w:sz w:val="20"/>
      <w:szCs w:val="20"/>
    </w:rPr>
  </w:style>
  <w:style w:type="paragraph" w:styleId="a9">
    <w:name w:val="footer"/>
    <w:basedOn w:val="a2"/>
    <w:link w:val="aa"/>
    <w:rsid w:val="00677309"/>
    <w:pPr>
      <w:tabs>
        <w:tab w:val="center" w:pos="4153"/>
        <w:tab w:val="right" w:pos="8306"/>
      </w:tabs>
      <w:snapToGrid w:val="0"/>
    </w:pPr>
    <w:rPr>
      <w:sz w:val="20"/>
      <w:szCs w:val="20"/>
    </w:rPr>
  </w:style>
  <w:style w:type="paragraph" w:styleId="ab">
    <w:name w:val="Plain Text"/>
    <w:basedOn w:val="a2"/>
    <w:link w:val="ac"/>
    <w:uiPriority w:val="99"/>
    <w:rsid w:val="00677309"/>
    <w:rPr>
      <w:rFonts w:ascii="細明體" w:eastAsia="細明體" w:hAnsi="Courier New"/>
      <w:szCs w:val="20"/>
    </w:rPr>
  </w:style>
  <w:style w:type="paragraph" w:customStyle="1" w:styleId="ad">
    <w:name w:val="特殊段落"/>
    <w:basedOn w:val="a2"/>
    <w:rsid w:val="00677309"/>
    <w:pPr>
      <w:kinsoku w:val="0"/>
      <w:overflowPunct w:val="0"/>
      <w:autoSpaceDE w:val="0"/>
      <w:autoSpaceDN w:val="0"/>
      <w:jc w:val="both"/>
    </w:pPr>
    <w:rPr>
      <w:rFonts w:eastAsia="華康細明體"/>
      <w:snapToGrid w:val="0"/>
    </w:rPr>
  </w:style>
  <w:style w:type="paragraph" w:customStyle="1" w:styleId="ae">
    <w:name w:val="表格內文頂頭"/>
    <w:basedOn w:val="a2"/>
    <w:next w:val="a2"/>
    <w:rsid w:val="00677309"/>
    <w:pPr>
      <w:kinsoku w:val="0"/>
      <w:overflowPunct w:val="0"/>
      <w:autoSpaceDE w:val="0"/>
      <w:autoSpaceDN w:val="0"/>
      <w:jc w:val="both"/>
      <w:textAlignment w:val="center"/>
    </w:pPr>
    <w:rPr>
      <w:rFonts w:eastAsia="華康細明體"/>
      <w:snapToGrid w:val="0"/>
    </w:rPr>
  </w:style>
  <w:style w:type="paragraph" w:customStyle="1" w:styleId="af">
    <w:name w:val="表格第一列(文字分散)"/>
    <w:basedOn w:val="a2"/>
    <w:next w:val="a2"/>
    <w:rsid w:val="00677309"/>
    <w:pPr>
      <w:kinsoku w:val="0"/>
      <w:overflowPunct w:val="0"/>
      <w:autoSpaceDE w:val="0"/>
      <w:autoSpaceDN w:val="0"/>
      <w:ind w:leftChars="50" w:left="105" w:rightChars="50" w:right="105"/>
      <w:jc w:val="distribute"/>
      <w:textAlignment w:val="center"/>
    </w:pPr>
    <w:rPr>
      <w:rFonts w:eastAsia="華康細明體"/>
      <w:snapToGrid w:val="0"/>
    </w:rPr>
  </w:style>
  <w:style w:type="paragraph" w:styleId="af0">
    <w:name w:val="Body Text Indent"/>
    <w:basedOn w:val="a2"/>
    <w:link w:val="af1"/>
    <w:rsid w:val="00677309"/>
    <w:pPr>
      <w:kinsoku w:val="0"/>
      <w:overflowPunct w:val="0"/>
      <w:spacing w:line="500" w:lineRule="exact"/>
      <w:ind w:leftChars="700" w:left="1671" w:firstLineChars="200" w:firstLine="477"/>
      <w:jc w:val="both"/>
      <w:textAlignment w:val="center"/>
    </w:pPr>
    <w:rPr>
      <w:bCs/>
      <w:snapToGrid w:val="0"/>
    </w:rPr>
  </w:style>
  <w:style w:type="paragraph" w:styleId="21">
    <w:name w:val="Body Text Indent 2"/>
    <w:basedOn w:val="a2"/>
    <w:link w:val="22"/>
    <w:rsid w:val="00677309"/>
    <w:pPr>
      <w:kinsoku w:val="0"/>
      <w:overflowPunct w:val="0"/>
      <w:spacing w:line="500" w:lineRule="exact"/>
      <w:ind w:leftChars="400" w:left="955" w:firstLineChars="200" w:firstLine="477"/>
      <w:jc w:val="both"/>
      <w:textAlignment w:val="center"/>
    </w:pPr>
    <w:rPr>
      <w:bCs/>
      <w:snapToGrid w:val="0"/>
    </w:rPr>
  </w:style>
  <w:style w:type="character" w:customStyle="1" w:styleId="aa">
    <w:name w:val="頁尾 字元"/>
    <w:link w:val="a9"/>
    <w:rsid w:val="00677309"/>
    <w:rPr>
      <w:rFonts w:eastAsia="新細明體"/>
      <w:kern w:val="2"/>
      <w:lang w:val="en-US" w:eastAsia="zh-TW" w:bidi="ar-SA"/>
    </w:rPr>
  </w:style>
  <w:style w:type="character" w:customStyle="1" w:styleId="af1">
    <w:name w:val="本文縮排 字元"/>
    <w:link w:val="af0"/>
    <w:rsid w:val="00677309"/>
    <w:rPr>
      <w:rFonts w:eastAsia="新細明體"/>
      <w:bCs/>
      <w:snapToGrid w:val="0"/>
      <w:kern w:val="2"/>
      <w:sz w:val="24"/>
      <w:szCs w:val="24"/>
      <w:lang w:val="en-US" w:eastAsia="zh-TW" w:bidi="ar-SA"/>
    </w:rPr>
  </w:style>
  <w:style w:type="character" w:customStyle="1" w:styleId="ac">
    <w:name w:val="純文字 字元"/>
    <w:link w:val="ab"/>
    <w:uiPriority w:val="99"/>
    <w:rsid w:val="00677309"/>
    <w:rPr>
      <w:rFonts w:ascii="細明體" w:eastAsia="細明體" w:hAnsi="Courier New"/>
      <w:kern w:val="2"/>
      <w:sz w:val="24"/>
      <w:lang w:val="en-US" w:eastAsia="zh-TW" w:bidi="ar-SA"/>
    </w:rPr>
  </w:style>
  <w:style w:type="character" w:customStyle="1" w:styleId="22">
    <w:name w:val="本文縮排 2 字元"/>
    <w:link w:val="21"/>
    <w:rsid w:val="00677309"/>
    <w:rPr>
      <w:rFonts w:eastAsia="新細明體"/>
      <w:bCs/>
      <w:snapToGrid w:val="0"/>
      <w:kern w:val="2"/>
      <w:sz w:val="24"/>
      <w:szCs w:val="24"/>
      <w:lang w:val="en-US" w:eastAsia="zh-TW" w:bidi="ar-SA"/>
    </w:rPr>
  </w:style>
  <w:style w:type="character" w:customStyle="1" w:styleId="20">
    <w:name w:val="標題 2 字元"/>
    <w:link w:val="2"/>
    <w:rsid w:val="00677309"/>
    <w:rPr>
      <w:rFonts w:ascii="新細明體" w:eastAsia="新細明體" w:hAnsi="新細明體" w:cs="新細明體"/>
      <w:b/>
      <w:bCs/>
      <w:sz w:val="36"/>
      <w:szCs w:val="36"/>
      <w:lang w:val="en-US" w:eastAsia="zh-TW" w:bidi="hi-IN"/>
    </w:rPr>
  </w:style>
  <w:style w:type="character" w:styleId="af2">
    <w:name w:val="page number"/>
    <w:basedOn w:val="a3"/>
    <w:rsid w:val="00677309"/>
  </w:style>
  <w:style w:type="character" w:styleId="af3">
    <w:name w:val="Hyperlink"/>
    <w:rsid w:val="00677309"/>
    <w:rPr>
      <w:color w:val="0000FF"/>
      <w:u w:val="single"/>
    </w:rPr>
  </w:style>
  <w:style w:type="paragraph" w:styleId="af4">
    <w:name w:val="List Paragraph"/>
    <w:basedOn w:val="a2"/>
    <w:uiPriority w:val="34"/>
    <w:qFormat/>
    <w:rsid w:val="00677309"/>
    <w:pPr>
      <w:ind w:leftChars="200" w:left="480"/>
    </w:pPr>
    <w:rPr>
      <w:szCs w:val="20"/>
    </w:rPr>
  </w:style>
  <w:style w:type="character" w:customStyle="1" w:styleId="x-label-value1">
    <w:name w:val="x-label-value1"/>
    <w:rsid w:val="00677309"/>
    <w:rPr>
      <w:rFonts w:ascii="細明體" w:eastAsia="細明體" w:hAnsi="細明體" w:hint="eastAsia"/>
      <w:i w:val="0"/>
      <w:iCs w:val="0"/>
      <w:sz w:val="25"/>
      <w:szCs w:val="25"/>
    </w:rPr>
  </w:style>
  <w:style w:type="paragraph" w:styleId="HTML">
    <w:name w:val="HTML Preformatted"/>
    <w:basedOn w:val="a2"/>
    <w:link w:val="HTML0"/>
    <w:rsid w:val="00677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677309"/>
    <w:rPr>
      <w:rFonts w:ascii="細明體" w:eastAsia="細明體" w:hAnsi="細明體" w:cs="細明體"/>
      <w:sz w:val="24"/>
      <w:szCs w:val="24"/>
      <w:lang w:val="en-US" w:eastAsia="zh-TW" w:bidi="ar-SA"/>
    </w:rPr>
  </w:style>
  <w:style w:type="character" w:customStyle="1" w:styleId="10">
    <w:name w:val="字元 字元1"/>
    <w:rsid w:val="00677309"/>
    <w:rPr>
      <w:rFonts w:ascii="細明體" w:eastAsia="細明體" w:hAnsi="細明體" w:cs="細明體"/>
      <w:sz w:val="24"/>
      <w:szCs w:val="24"/>
      <w:lang w:val="en-US" w:eastAsia="zh-TW" w:bidi="ar-SA"/>
    </w:rPr>
  </w:style>
  <w:style w:type="paragraph" w:styleId="af5">
    <w:name w:val="Balloon Text"/>
    <w:basedOn w:val="a2"/>
    <w:link w:val="af6"/>
    <w:rsid w:val="00170673"/>
    <w:rPr>
      <w:rFonts w:ascii="Cambria" w:hAnsi="Cambria"/>
      <w:sz w:val="18"/>
      <w:szCs w:val="18"/>
    </w:rPr>
  </w:style>
  <w:style w:type="character" w:customStyle="1" w:styleId="af6">
    <w:name w:val="註解方塊文字 字元"/>
    <w:link w:val="af5"/>
    <w:rsid w:val="00170673"/>
    <w:rPr>
      <w:rFonts w:ascii="Cambria" w:eastAsia="新細明體" w:hAnsi="Cambria" w:cs="Times New Roman"/>
      <w:kern w:val="2"/>
      <w:sz w:val="18"/>
      <w:szCs w:val="18"/>
    </w:rPr>
  </w:style>
  <w:style w:type="paragraph" w:customStyle="1" w:styleId="af7">
    <w:name w:val="款"/>
    <w:basedOn w:val="a2"/>
    <w:rsid w:val="004354A9"/>
    <w:pPr>
      <w:kinsoku w:val="0"/>
      <w:overflowPunct w:val="0"/>
      <w:autoSpaceDE w:val="0"/>
      <w:autoSpaceDN w:val="0"/>
      <w:jc w:val="both"/>
      <w:textAlignment w:val="center"/>
    </w:pPr>
    <w:rPr>
      <w:rFonts w:eastAsia="華康細明體"/>
      <w:bCs/>
      <w:snapToGrid w:val="0"/>
    </w:rPr>
  </w:style>
  <w:style w:type="paragraph" w:customStyle="1" w:styleId="af8">
    <w:name w:val="項"/>
    <w:basedOn w:val="a2"/>
    <w:next w:val="a2"/>
    <w:rsid w:val="007E4DFE"/>
    <w:pPr>
      <w:kinsoku w:val="0"/>
      <w:overflowPunct w:val="0"/>
      <w:autoSpaceDE w:val="0"/>
      <w:autoSpaceDN w:val="0"/>
      <w:ind w:leftChars="100" w:left="1200" w:hangingChars="400" w:hanging="960"/>
      <w:jc w:val="both"/>
      <w:textAlignment w:val="center"/>
    </w:pPr>
    <w:rPr>
      <w:rFonts w:eastAsia="華康細明體"/>
      <w:snapToGrid w:val="0"/>
    </w:rPr>
  </w:style>
  <w:style w:type="paragraph" w:customStyle="1" w:styleId="1">
    <w:name w:val="附代決議1"/>
    <w:link w:val="11"/>
    <w:qFormat/>
    <w:rsid w:val="002D6AED"/>
    <w:pPr>
      <w:numPr>
        <w:numId w:val="1"/>
      </w:numPr>
      <w:autoSpaceDE w:val="0"/>
      <w:spacing w:line="360" w:lineRule="exact"/>
      <w:jc w:val="both"/>
    </w:pPr>
    <w:rPr>
      <w:rFonts w:ascii="Arial" w:hAnsi="Arial" w:cs="Arial"/>
      <w:color w:val="000000"/>
    </w:rPr>
  </w:style>
  <w:style w:type="paragraph" w:customStyle="1" w:styleId="23">
    <w:name w:val="附代決議2"/>
    <w:link w:val="24"/>
    <w:qFormat/>
    <w:rsid w:val="00245DB9"/>
    <w:pPr>
      <w:spacing w:line="360" w:lineRule="exact"/>
      <w:jc w:val="both"/>
    </w:pPr>
    <w:rPr>
      <w:rFonts w:ascii="Arial" w:hAnsi="Arial" w:cs="Arial"/>
      <w:color w:val="000000"/>
    </w:rPr>
  </w:style>
  <w:style w:type="character" w:customStyle="1" w:styleId="11">
    <w:name w:val="附代決議1 字元"/>
    <w:basedOn w:val="a3"/>
    <w:link w:val="1"/>
    <w:rsid w:val="002D6AED"/>
    <w:rPr>
      <w:rFonts w:ascii="Arial" w:hAnsi="Arial" w:cs="Arial"/>
      <w:color w:val="000000"/>
    </w:rPr>
  </w:style>
  <w:style w:type="character" w:customStyle="1" w:styleId="24">
    <w:name w:val="附代決議2 字元"/>
    <w:basedOn w:val="a3"/>
    <w:link w:val="23"/>
    <w:rsid w:val="00245DB9"/>
    <w:rPr>
      <w:rFonts w:ascii="Arial" w:hAnsi="Arial" w:cs="Arial"/>
      <w:color w:val="000000"/>
    </w:rPr>
  </w:style>
  <w:style w:type="paragraph" w:customStyle="1" w:styleId="a">
    <w:name w:val="大"/>
    <w:basedOn w:val="21"/>
    <w:link w:val="af9"/>
    <w:qFormat/>
    <w:rsid w:val="00E6045D"/>
    <w:pPr>
      <w:numPr>
        <w:numId w:val="5"/>
      </w:numPr>
      <w:kinsoku/>
      <w:overflowPunct/>
      <w:spacing w:line="480" w:lineRule="exact"/>
      <w:ind w:leftChars="0" w:left="0" w:firstLineChars="0" w:firstLine="0"/>
      <w:textAlignment w:val="auto"/>
    </w:pPr>
    <w:rPr>
      <w:rFonts w:ascii="Arial" w:eastAsia="標楷體" w:hAnsi="Arial"/>
      <w:bCs w:val="0"/>
      <w:snapToGrid/>
      <w:sz w:val="32"/>
      <w:szCs w:val="32"/>
    </w:rPr>
  </w:style>
  <w:style w:type="paragraph" w:customStyle="1" w:styleId="a0">
    <w:name w:val="中"/>
    <w:basedOn w:val="21"/>
    <w:qFormat/>
    <w:rsid w:val="00E6045D"/>
    <w:pPr>
      <w:numPr>
        <w:ilvl w:val="1"/>
        <w:numId w:val="5"/>
      </w:numPr>
      <w:kinsoku/>
      <w:overflowPunct/>
      <w:spacing w:line="480" w:lineRule="exact"/>
      <w:ind w:leftChars="0" w:left="0" w:firstLineChars="0" w:firstLine="0"/>
      <w:textAlignment w:val="auto"/>
    </w:pPr>
    <w:rPr>
      <w:rFonts w:ascii="Arial" w:eastAsia="標楷體" w:hAnsi="Arial"/>
      <w:bCs w:val="0"/>
      <w:snapToGrid/>
      <w:sz w:val="32"/>
      <w:szCs w:val="20"/>
    </w:rPr>
  </w:style>
  <w:style w:type="character" w:customStyle="1" w:styleId="af9">
    <w:name w:val="大 字元"/>
    <w:link w:val="a"/>
    <w:rsid w:val="00E6045D"/>
    <w:rPr>
      <w:rFonts w:ascii="Arial" w:eastAsia="標楷體" w:hAnsi="Arial"/>
      <w:kern w:val="2"/>
      <w:sz w:val="32"/>
      <w:szCs w:val="32"/>
    </w:rPr>
  </w:style>
  <w:style w:type="paragraph" w:customStyle="1" w:styleId="a1">
    <w:name w:val="小"/>
    <w:basedOn w:val="21"/>
    <w:qFormat/>
    <w:rsid w:val="00E6045D"/>
    <w:pPr>
      <w:numPr>
        <w:ilvl w:val="2"/>
        <w:numId w:val="5"/>
      </w:numPr>
      <w:kinsoku/>
      <w:overflowPunct/>
      <w:spacing w:line="480" w:lineRule="exact"/>
      <w:ind w:leftChars="0" w:left="0" w:firstLineChars="0" w:firstLine="0"/>
      <w:textAlignment w:val="auto"/>
    </w:pPr>
    <w:rPr>
      <w:rFonts w:ascii="Arial" w:eastAsia="標楷體" w:hAnsi="Arial"/>
      <w:bCs w:val="0"/>
      <w:snapToGrid/>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309"/>
    <w:pPr>
      <w:widowControl w:val="0"/>
    </w:pPr>
    <w:rPr>
      <w:kern w:val="2"/>
      <w:sz w:val="24"/>
      <w:szCs w:val="24"/>
    </w:rPr>
  </w:style>
  <w:style w:type="paragraph" w:styleId="2">
    <w:name w:val="heading 2"/>
    <w:basedOn w:val="a"/>
    <w:link w:val="20"/>
    <w:qFormat/>
    <w:rsid w:val="00677309"/>
    <w:pPr>
      <w:widowControl/>
      <w:spacing w:before="100" w:beforeAutospacing="1" w:after="100" w:afterAutospacing="1"/>
      <w:outlineLvl w:val="1"/>
    </w:pPr>
    <w:rPr>
      <w:rFonts w:ascii="新細明體" w:hAnsi="新細明體" w:cs="新細明體"/>
      <w:b/>
      <w:bCs/>
      <w:kern w:val="0"/>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30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
    <w:basedOn w:val="a"/>
    <w:rsid w:val="00677309"/>
    <w:pPr>
      <w:spacing w:line="340" w:lineRule="exact"/>
      <w:ind w:left="100" w:hangingChars="100" w:hanging="100"/>
      <w:jc w:val="both"/>
    </w:pPr>
    <w:rPr>
      <w:rFonts w:ascii="標楷體" w:eastAsia="標楷體" w:hAnsi="標楷體"/>
      <w:sz w:val="22"/>
      <w:szCs w:val="22"/>
    </w:rPr>
  </w:style>
  <w:style w:type="paragraph" w:styleId="a5">
    <w:name w:val="header"/>
    <w:basedOn w:val="a"/>
    <w:rsid w:val="00677309"/>
    <w:pPr>
      <w:tabs>
        <w:tab w:val="center" w:pos="4153"/>
        <w:tab w:val="right" w:pos="8306"/>
      </w:tabs>
      <w:snapToGrid w:val="0"/>
    </w:pPr>
    <w:rPr>
      <w:sz w:val="20"/>
      <w:szCs w:val="20"/>
    </w:rPr>
  </w:style>
  <w:style w:type="paragraph" w:styleId="a6">
    <w:name w:val="footer"/>
    <w:basedOn w:val="a"/>
    <w:link w:val="a7"/>
    <w:rsid w:val="00677309"/>
    <w:pPr>
      <w:tabs>
        <w:tab w:val="center" w:pos="4153"/>
        <w:tab w:val="right" w:pos="8306"/>
      </w:tabs>
      <w:snapToGrid w:val="0"/>
    </w:pPr>
    <w:rPr>
      <w:sz w:val="20"/>
      <w:szCs w:val="20"/>
    </w:rPr>
  </w:style>
  <w:style w:type="paragraph" w:styleId="a8">
    <w:name w:val="Plain Text"/>
    <w:basedOn w:val="a"/>
    <w:link w:val="a9"/>
    <w:uiPriority w:val="99"/>
    <w:rsid w:val="00677309"/>
    <w:rPr>
      <w:rFonts w:ascii="細明體" w:eastAsia="細明體" w:hAnsi="Courier New"/>
      <w:szCs w:val="20"/>
    </w:rPr>
  </w:style>
  <w:style w:type="paragraph" w:customStyle="1" w:styleId="aa">
    <w:name w:val="特殊段落"/>
    <w:basedOn w:val="a"/>
    <w:rsid w:val="00677309"/>
    <w:pPr>
      <w:kinsoku w:val="0"/>
      <w:overflowPunct w:val="0"/>
      <w:autoSpaceDE w:val="0"/>
      <w:autoSpaceDN w:val="0"/>
      <w:jc w:val="both"/>
    </w:pPr>
    <w:rPr>
      <w:rFonts w:eastAsia="華康細明體"/>
      <w:snapToGrid w:val="0"/>
    </w:rPr>
  </w:style>
  <w:style w:type="paragraph" w:customStyle="1" w:styleId="ab">
    <w:name w:val="表格內文頂頭"/>
    <w:basedOn w:val="a"/>
    <w:next w:val="a"/>
    <w:rsid w:val="00677309"/>
    <w:pPr>
      <w:kinsoku w:val="0"/>
      <w:overflowPunct w:val="0"/>
      <w:autoSpaceDE w:val="0"/>
      <w:autoSpaceDN w:val="0"/>
      <w:jc w:val="both"/>
      <w:textAlignment w:val="center"/>
    </w:pPr>
    <w:rPr>
      <w:rFonts w:eastAsia="華康細明體"/>
      <w:snapToGrid w:val="0"/>
    </w:rPr>
  </w:style>
  <w:style w:type="paragraph" w:customStyle="1" w:styleId="ac">
    <w:name w:val="表格第一列(文字分散)"/>
    <w:basedOn w:val="a"/>
    <w:next w:val="a"/>
    <w:rsid w:val="00677309"/>
    <w:pPr>
      <w:kinsoku w:val="0"/>
      <w:overflowPunct w:val="0"/>
      <w:autoSpaceDE w:val="0"/>
      <w:autoSpaceDN w:val="0"/>
      <w:ind w:leftChars="50" w:left="105" w:rightChars="50" w:right="105"/>
      <w:jc w:val="distribute"/>
      <w:textAlignment w:val="center"/>
    </w:pPr>
    <w:rPr>
      <w:rFonts w:eastAsia="華康細明體"/>
      <w:snapToGrid w:val="0"/>
    </w:rPr>
  </w:style>
  <w:style w:type="paragraph" w:styleId="ad">
    <w:name w:val="Body Text Indent"/>
    <w:basedOn w:val="a"/>
    <w:link w:val="ae"/>
    <w:rsid w:val="00677309"/>
    <w:pPr>
      <w:kinsoku w:val="0"/>
      <w:overflowPunct w:val="0"/>
      <w:spacing w:line="500" w:lineRule="exact"/>
      <w:ind w:leftChars="700" w:left="1671" w:firstLineChars="200" w:firstLine="477"/>
      <w:jc w:val="both"/>
      <w:textAlignment w:val="center"/>
    </w:pPr>
    <w:rPr>
      <w:bCs/>
      <w:snapToGrid w:val="0"/>
    </w:rPr>
  </w:style>
  <w:style w:type="paragraph" w:styleId="21">
    <w:name w:val="Body Text Indent 2"/>
    <w:basedOn w:val="a"/>
    <w:link w:val="22"/>
    <w:rsid w:val="00677309"/>
    <w:pPr>
      <w:kinsoku w:val="0"/>
      <w:overflowPunct w:val="0"/>
      <w:spacing w:line="500" w:lineRule="exact"/>
      <w:ind w:leftChars="400" w:left="955" w:firstLineChars="200" w:firstLine="477"/>
      <w:jc w:val="both"/>
      <w:textAlignment w:val="center"/>
    </w:pPr>
    <w:rPr>
      <w:bCs/>
      <w:snapToGrid w:val="0"/>
    </w:rPr>
  </w:style>
  <w:style w:type="character" w:customStyle="1" w:styleId="a7">
    <w:name w:val="頁尾 字元"/>
    <w:link w:val="a6"/>
    <w:rsid w:val="00677309"/>
    <w:rPr>
      <w:rFonts w:eastAsia="新細明體"/>
      <w:kern w:val="2"/>
      <w:lang w:val="en-US" w:eastAsia="zh-TW" w:bidi="ar-SA"/>
    </w:rPr>
  </w:style>
  <w:style w:type="character" w:customStyle="1" w:styleId="ae">
    <w:name w:val="本文縮排 字元"/>
    <w:link w:val="ad"/>
    <w:rsid w:val="00677309"/>
    <w:rPr>
      <w:rFonts w:eastAsia="新細明體"/>
      <w:bCs/>
      <w:snapToGrid w:val="0"/>
      <w:kern w:val="2"/>
      <w:sz w:val="24"/>
      <w:szCs w:val="24"/>
      <w:lang w:val="en-US" w:eastAsia="zh-TW" w:bidi="ar-SA"/>
    </w:rPr>
  </w:style>
  <w:style w:type="character" w:customStyle="1" w:styleId="a9">
    <w:name w:val="純文字 字元"/>
    <w:link w:val="a8"/>
    <w:uiPriority w:val="99"/>
    <w:rsid w:val="00677309"/>
    <w:rPr>
      <w:rFonts w:ascii="細明體" w:eastAsia="細明體" w:hAnsi="Courier New"/>
      <w:kern w:val="2"/>
      <w:sz w:val="24"/>
      <w:lang w:val="en-US" w:eastAsia="zh-TW" w:bidi="ar-SA"/>
    </w:rPr>
  </w:style>
  <w:style w:type="character" w:customStyle="1" w:styleId="22">
    <w:name w:val="本文縮排 2 字元"/>
    <w:link w:val="21"/>
    <w:rsid w:val="00677309"/>
    <w:rPr>
      <w:rFonts w:eastAsia="新細明體"/>
      <w:bCs/>
      <w:snapToGrid w:val="0"/>
      <w:kern w:val="2"/>
      <w:sz w:val="24"/>
      <w:szCs w:val="24"/>
      <w:lang w:val="en-US" w:eastAsia="zh-TW" w:bidi="ar-SA"/>
    </w:rPr>
  </w:style>
  <w:style w:type="character" w:customStyle="1" w:styleId="20">
    <w:name w:val="標題 2 字元"/>
    <w:link w:val="2"/>
    <w:rsid w:val="00677309"/>
    <w:rPr>
      <w:rFonts w:ascii="新細明體" w:eastAsia="新細明體" w:hAnsi="新細明體" w:cs="新細明體"/>
      <w:b/>
      <w:bCs/>
      <w:sz w:val="36"/>
      <w:szCs w:val="36"/>
      <w:lang w:val="en-US" w:eastAsia="zh-TW" w:bidi="hi-IN"/>
    </w:rPr>
  </w:style>
  <w:style w:type="character" w:styleId="af">
    <w:name w:val="page number"/>
    <w:basedOn w:val="a0"/>
    <w:rsid w:val="00677309"/>
  </w:style>
  <w:style w:type="character" w:styleId="af0">
    <w:name w:val="Hyperlink"/>
    <w:rsid w:val="00677309"/>
    <w:rPr>
      <w:color w:val="0000FF"/>
      <w:u w:val="single"/>
    </w:rPr>
  </w:style>
  <w:style w:type="paragraph" w:styleId="af1">
    <w:name w:val="List Paragraph"/>
    <w:basedOn w:val="a"/>
    <w:uiPriority w:val="34"/>
    <w:qFormat/>
    <w:rsid w:val="00677309"/>
    <w:pPr>
      <w:ind w:leftChars="200" w:left="480"/>
    </w:pPr>
    <w:rPr>
      <w:szCs w:val="20"/>
    </w:rPr>
  </w:style>
  <w:style w:type="character" w:customStyle="1" w:styleId="x-label-value1">
    <w:name w:val="x-label-value1"/>
    <w:rsid w:val="00677309"/>
    <w:rPr>
      <w:rFonts w:ascii="細明體" w:eastAsia="細明體" w:hAnsi="細明體" w:hint="eastAsia"/>
      <w:i w:val="0"/>
      <w:iCs w:val="0"/>
      <w:sz w:val="25"/>
      <w:szCs w:val="25"/>
    </w:rPr>
  </w:style>
  <w:style w:type="paragraph" w:styleId="HTML">
    <w:name w:val="HTML Preformatted"/>
    <w:basedOn w:val="a"/>
    <w:link w:val="HTML0"/>
    <w:rsid w:val="00677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677309"/>
    <w:rPr>
      <w:rFonts w:ascii="細明體" w:eastAsia="細明體" w:hAnsi="細明體" w:cs="細明體"/>
      <w:sz w:val="24"/>
      <w:szCs w:val="24"/>
      <w:lang w:val="en-US" w:eastAsia="zh-TW" w:bidi="ar-SA"/>
    </w:rPr>
  </w:style>
  <w:style w:type="character" w:customStyle="1" w:styleId="10">
    <w:name w:val="字元 字元1"/>
    <w:rsid w:val="00677309"/>
    <w:rPr>
      <w:rFonts w:ascii="細明體" w:eastAsia="細明體" w:hAnsi="細明體" w:cs="細明體"/>
      <w:sz w:val="24"/>
      <w:szCs w:val="24"/>
      <w:lang w:val="en-US" w:eastAsia="zh-TW" w:bidi="ar-SA"/>
    </w:rPr>
  </w:style>
  <w:style w:type="paragraph" w:styleId="af2">
    <w:name w:val="Balloon Text"/>
    <w:basedOn w:val="a"/>
    <w:link w:val="af3"/>
    <w:rsid w:val="00170673"/>
    <w:rPr>
      <w:rFonts w:ascii="Cambria" w:hAnsi="Cambria"/>
      <w:sz w:val="18"/>
      <w:szCs w:val="18"/>
    </w:rPr>
  </w:style>
  <w:style w:type="character" w:customStyle="1" w:styleId="af3">
    <w:name w:val="註解方塊文字 字元"/>
    <w:link w:val="af2"/>
    <w:rsid w:val="00170673"/>
    <w:rPr>
      <w:rFonts w:ascii="Cambria" w:eastAsia="新細明體" w:hAnsi="Cambria" w:cs="Times New Roman"/>
      <w:kern w:val="2"/>
      <w:sz w:val="18"/>
      <w:szCs w:val="18"/>
    </w:rPr>
  </w:style>
  <w:style w:type="paragraph" w:customStyle="1" w:styleId="af4">
    <w:name w:val="款"/>
    <w:basedOn w:val="a"/>
    <w:rsid w:val="004354A9"/>
    <w:pPr>
      <w:kinsoku w:val="0"/>
      <w:overflowPunct w:val="0"/>
      <w:autoSpaceDE w:val="0"/>
      <w:autoSpaceDN w:val="0"/>
      <w:jc w:val="both"/>
      <w:textAlignment w:val="center"/>
    </w:pPr>
    <w:rPr>
      <w:rFonts w:eastAsia="華康細明體"/>
      <w:bCs/>
      <w:snapToGrid w:val="0"/>
    </w:rPr>
  </w:style>
  <w:style w:type="paragraph" w:customStyle="1" w:styleId="af5">
    <w:name w:val="項"/>
    <w:basedOn w:val="a"/>
    <w:next w:val="a"/>
    <w:rsid w:val="007E4DFE"/>
    <w:pPr>
      <w:kinsoku w:val="0"/>
      <w:overflowPunct w:val="0"/>
      <w:autoSpaceDE w:val="0"/>
      <w:autoSpaceDN w:val="0"/>
      <w:ind w:leftChars="100" w:left="1200" w:hangingChars="400" w:hanging="960"/>
      <w:jc w:val="both"/>
      <w:textAlignment w:val="center"/>
    </w:pPr>
    <w:rPr>
      <w:rFonts w:eastAsia="華康細明體"/>
      <w:snapToGrid w:val="0"/>
    </w:rPr>
  </w:style>
  <w:style w:type="paragraph" w:customStyle="1" w:styleId="1">
    <w:name w:val="附代決議1"/>
    <w:link w:val="11"/>
    <w:qFormat/>
    <w:rsid w:val="002D6AED"/>
    <w:pPr>
      <w:numPr>
        <w:numId w:val="40"/>
      </w:numPr>
      <w:autoSpaceDE w:val="0"/>
      <w:spacing w:line="360" w:lineRule="exact"/>
      <w:ind w:left="539" w:hanging="539"/>
      <w:jc w:val="both"/>
    </w:pPr>
    <w:rPr>
      <w:rFonts w:ascii="Arial" w:hAnsi="Arial" w:cs="Arial"/>
      <w:color w:val="000000"/>
    </w:rPr>
  </w:style>
  <w:style w:type="paragraph" w:customStyle="1" w:styleId="23">
    <w:name w:val="附代決議2"/>
    <w:link w:val="24"/>
    <w:qFormat/>
    <w:rsid w:val="00245DB9"/>
    <w:pPr>
      <w:spacing w:line="360" w:lineRule="exact"/>
      <w:jc w:val="both"/>
    </w:pPr>
    <w:rPr>
      <w:rFonts w:ascii="Arial" w:hAnsi="Arial" w:cs="Arial"/>
      <w:color w:val="000000"/>
    </w:rPr>
  </w:style>
  <w:style w:type="character" w:customStyle="1" w:styleId="11">
    <w:name w:val="附代決議1 字元"/>
    <w:basedOn w:val="a0"/>
    <w:link w:val="1"/>
    <w:rsid w:val="002D6AED"/>
    <w:rPr>
      <w:rFonts w:ascii="Arial" w:hAnsi="Arial" w:cs="Arial"/>
      <w:color w:val="000000"/>
    </w:rPr>
  </w:style>
  <w:style w:type="character" w:customStyle="1" w:styleId="24">
    <w:name w:val="附代決議2 字元"/>
    <w:basedOn w:val="a0"/>
    <w:link w:val="23"/>
    <w:rsid w:val="00245DB9"/>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227811234">
      <w:bodyDiv w:val="1"/>
      <w:marLeft w:val="0"/>
      <w:marRight w:val="0"/>
      <w:marTop w:val="0"/>
      <w:marBottom w:val="0"/>
      <w:divBdr>
        <w:top w:val="none" w:sz="0" w:space="0" w:color="auto"/>
        <w:left w:val="none" w:sz="0" w:space="0" w:color="auto"/>
        <w:bottom w:val="none" w:sz="0" w:space="0" w:color="auto"/>
        <w:right w:val="none" w:sz="0" w:space="0" w:color="auto"/>
      </w:divBdr>
    </w:div>
    <w:div w:id="330186659">
      <w:bodyDiv w:val="1"/>
      <w:marLeft w:val="0"/>
      <w:marRight w:val="0"/>
      <w:marTop w:val="0"/>
      <w:marBottom w:val="0"/>
      <w:divBdr>
        <w:top w:val="none" w:sz="0" w:space="0" w:color="auto"/>
        <w:left w:val="none" w:sz="0" w:space="0" w:color="auto"/>
        <w:bottom w:val="none" w:sz="0" w:space="0" w:color="auto"/>
        <w:right w:val="none" w:sz="0" w:space="0" w:color="auto"/>
      </w:divBdr>
    </w:div>
    <w:div w:id="521939140">
      <w:bodyDiv w:val="1"/>
      <w:marLeft w:val="0"/>
      <w:marRight w:val="0"/>
      <w:marTop w:val="0"/>
      <w:marBottom w:val="0"/>
      <w:divBdr>
        <w:top w:val="none" w:sz="0" w:space="0" w:color="auto"/>
        <w:left w:val="none" w:sz="0" w:space="0" w:color="auto"/>
        <w:bottom w:val="none" w:sz="0" w:space="0" w:color="auto"/>
        <w:right w:val="none" w:sz="0" w:space="0" w:color="auto"/>
      </w:divBdr>
    </w:div>
    <w:div w:id="1265844757">
      <w:bodyDiv w:val="1"/>
      <w:marLeft w:val="0"/>
      <w:marRight w:val="0"/>
      <w:marTop w:val="0"/>
      <w:marBottom w:val="0"/>
      <w:divBdr>
        <w:top w:val="none" w:sz="0" w:space="0" w:color="auto"/>
        <w:left w:val="none" w:sz="0" w:space="0" w:color="auto"/>
        <w:bottom w:val="none" w:sz="0" w:space="0" w:color="auto"/>
        <w:right w:val="none" w:sz="0" w:space="0" w:color="auto"/>
      </w:divBdr>
    </w:div>
    <w:div w:id="1320572067">
      <w:bodyDiv w:val="1"/>
      <w:marLeft w:val="0"/>
      <w:marRight w:val="0"/>
      <w:marTop w:val="0"/>
      <w:marBottom w:val="0"/>
      <w:divBdr>
        <w:top w:val="none" w:sz="0" w:space="0" w:color="auto"/>
        <w:left w:val="none" w:sz="0" w:space="0" w:color="auto"/>
        <w:bottom w:val="none" w:sz="0" w:space="0" w:color="auto"/>
        <w:right w:val="none" w:sz="0" w:space="0" w:color="auto"/>
      </w:divBdr>
    </w:div>
    <w:div w:id="1530147602">
      <w:bodyDiv w:val="1"/>
      <w:marLeft w:val="0"/>
      <w:marRight w:val="0"/>
      <w:marTop w:val="0"/>
      <w:marBottom w:val="0"/>
      <w:divBdr>
        <w:top w:val="none" w:sz="0" w:space="0" w:color="auto"/>
        <w:left w:val="none" w:sz="0" w:space="0" w:color="auto"/>
        <w:bottom w:val="none" w:sz="0" w:space="0" w:color="auto"/>
        <w:right w:val="none" w:sz="0" w:space="0" w:color="auto"/>
      </w:divBdr>
    </w:div>
    <w:div w:id="1675650332">
      <w:bodyDiv w:val="1"/>
      <w:marLeft w:val="0"/>
      <w:marRight w:val="0"/>
      <w:marTop w:val="0"/>
      <w:marBottom w:val="0"/>
      <w:divBdr>
        <w:top w:val="none" w:sz="0" w:space="0" w:color="auto"/>
        <w:left w:val="none" w:sz="0" w:space="0" w:color="auto"/>
        <w:bottom w:val="none" w:sz="0" w:space="0" w:color="auto"/>
        <w:right w:val="none" w:sz="0" w:space="0" w:color="auto"/>
      </w:divBdr>
    </w:div>
    <w:div w:id="1718971619">
      <w:bodyDiv w:val="1"/>
      <w:marLeft w:val="0"/>
      <w:marRight w:val="0"/>
      <w:marTop w:val="0"/>
      <w:marBottom w:val="0"/>
      <w:divBdr>
        <w:top w:val="none" w:sz="0" w:space="0" w:color="auto"/>
        <w:left w:val="none" w:sz="0" w:space="0" w:color="auto"/>
        <w:bottom w:val="none" w:sz="0" w:space="0" w:color="auto"/>
        <w:right w:val="none" w:sz="0" w:space="0" w:color="auto"/>
      </w:divBdr>
    </w:div>
    <w:div w:id="1955407661">
      <w:bodyDiv w:val="1"/>
      <w:marLeft w:val="0"/>
      <w:marRight w:val="0"/>
      <w:marTop w:val="0"/>
      <w:marBottom w:val="0"/>
      <w:divBdr>
        <w:top w:val="none" w:sz="0" w:space="0" w:color="auto"/>
        <w:left w:val="none" w:sz="0" w:space="0" w:color="auto"/>
        <w:bottom w:val="none" w:sz="0" w:space="0" w:color="auto"/>
        <w:right w:val="none" w:sz="0" w:space="0" w:color="auto"/>
      </w:divBdr>
    </w:div>
    <w:div w:id="19774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A40F-B28B-4AB8-ACB5-EE9CA568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2335</Words>
  <Characters>13314</Characters>
  <Application>Microsoft Office Word</Application>
  <DocSecurity>0</DocSecurity>
  <Lines>110</Lines>
  <Paragraphs>31</Paragraphs>
  <ScaleCrop>false</ScaleCrop>
  <Company>CMT</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決議、附帶決議及注意事項</dc:title>
  <dc:creator>acirean</dc:creator>
  <cp:lastModifiedBy>user</cp:lastModifiedBy>
  <cp:revision>2</cp:revision>
  <cp:lastPrinted>2015-08-20T06:34:00Z</cp:lastPrinted>
  <dcterms:created xsi:type="dcterms:W3CDTF">2015-09-28T08:27:00Z</dcterms:created>
  <dcterms:modified xsi:type="dcterms:W3CDTF">2015-09-28T08:27:00Z</dcterms:modified>
</cp:coreProperties>
</file>